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3" w:rsidRDefault="004E3E9B">
      <w:pPr>
        <w:spacing w:after="157"/>
        <w:jc w:val="center"/>
        <w:rPr>
          <w:rFonts w:ascii="Calibri Light" w:eastAsia="Calibri Light" w:hAnsi="Calibri Light"/>
          <w:b/>
          <w:bCs/>
          <w:sz w:val="32"/>
          <w:szCs w:val="32"/>
        </w:rPr>
      </w:pPr>
      <w:r>
        <w:rPr>
          <w:rFonts w:ascii="Calibri Light" w:eastAsia="Calibri Light" w:hAnsi="Calibri Light" w:hint="eastAsia"/>
          <w:b/>
          <w:bCs/>
          <w:sz w:val="32"/>
          <w:szCs w:val="32"/>
        </w:rPr>
        <w:t>技术接受模型在济南农村电子商务的研究调查</w:t>
      </w:r>
    </w:p>
    <w:p w:rsidR="007A0453" w:rsidRDefault="004E3E9B">
      <w:pPr>
        <w:spacing w:after="157" w:line="400" w:lineRule="exact"/>
        <w:jc w:val="center"/>
        <w:rPr>
          <w:rFonts w:ascii="楷体" w:eastAsia="楷体" w:hAnsi="楷体" w:cs="楷体"/>
          <w:b/>
          <w:bCs/>
          <w:sz w:val="24"/>
        </w:rPr>
      </w:pPr>
      <w:r>
        <w:rPr>
          <w:rFonts w:ascii="楷体" w:eastAsia="楷体" w:hAnsi="楷体" w:cs="楷体" w:hint="eastAsia"/>
          <w:b/>
          <w:bCs/>
          <w:sz w:val="24"/>
        </w:rPr>
        <w:t>刘欣雨</w:t>
      </w:r>
      <w:r>
        <w:rPr>
          <w:rFonts w:ascii="楷体" w:eastAsia="楷体" w:hAnsi="楷体" w:cs="楷体" w:hint="eastAsia"/>
          <w:b/>
          <w:bCs/>
          <w:sz w:val="24"/>
        </w:rPr>
        <w:t xml:space="preserve"> </w:t>
      </w:r>
      <w:r>
        <w:rPr>
          <w:rFonts w:ascii="楷体" w:eastAsia="楷体" w:hAnsi="楷体" w:cs="楷体" w:hint="eastAsia"/>
          <w:b/>
          <w:bCs/>
          <w:sz w:val="24"/>
        </w:rPr>
        <w:t>蒋鑫</w:t>
      </w:r>
      <w:r>
        <w:rPr>
          <w:rFonts w:ascii="楷体" w:eastAsia="楷体" w:hAnsi="楷体" w:cs="楷体" w:hint="eastAsia"/>
          <w:b/>
          <w:bCs/>
          <w:sz w:val="24"/>
        </w:rPr>
        <w:t xml:space="preserve"> </w:t>
      </w:r>
      <w:r>
        <w:rPr>
          <w:rFonts w:ascii="楷体" w:eastAsia="楷体" w:hAnsi="楷体" w:cs="楷体" w:hint="eastAsia"/>
          <w:b/>
          <w:bCs/>
          <w:sz w:val="24"/>
        </w:rPr>
        <w:t>马志红</w:t>
      </w:r>
      <w:r>
        <w:rPr>
          <w:rFonts w:ascii="楷体" w:eastAsia="楷体" w:hAnsi="楷体" w:cs="楷体" w:hint="eastAsia"/>
          <w:b/>
          <w:bCs/>
          <w:sz w:val="24"/>
        </w:rPr>
        <w:t xml:space="preserve"> </w:t>
      </w:r>
      <w:r>
        <w:rPr>
          <w:rFonts w:ascii="楷体" w:eastAsia="楷体" w:hAnsi="楷体" w:cs="楷体" w:hint="eastAsia"/>
          <w:b/>
          <w:bCs/>
          <w:sz w:val="24"/>
        </w:rPr>
        <w:t>李晓馥</w:t>
      </w:r>
      <w:r>
        <w:rPr>
          <w:rFonts w:ascii="楷体" w:eastAsia="楷体" w:hAnsi="楷体" w:cs="楷体" w:hint="eastAsia"/>
          <w:b/>
          <w:bCs/>
          <w:sz w:val="24"/>
        </w:rPr>
        <w:t xml:space="preserve"> </w:t>
      </w:r>
      <w:r>
        <w:rPr>
          <w:rFonts w:ascii="楷体" w:eastAsia="楷体" w:hAnsi="楷体" w:cs="楷体" w:hint="eastAsia"/>
          <w:b/>
          <w:bCs/>
          <w:sz w:val="24"/>
        </w:rPr>
        <w:t>徐静</w:t>
      </w:r>
    </w:p>
    <w:p w:rsidR="007A0453" w:rsidRDefault="004E3E9B">
      <w:pPr>
        <w:spacing w:after="157" w:line="40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山东师范大学</w:t>
      </w:r>
      <w:r>
        <w:rPr>
          <w:rFonts w:ascii="宋体" w:eastAsia="宋体" w:hAnsi="宋体" w:cs="宋体" w:hint="eastAsia"/>
          <w:szCs w:val="21"/>
        </w:rPr>
        <w:t xml:space="preserve"> </w:t>
      </w:r>
      <w:r>
        <w:rPr>
          <w:rFonts w:ascii="宋体" w:eastAsia="宋体" w:hAnsi="宋体" w:cs="宋体" w:hint="eastAsia"/>
          <w:szCs w:val="21"/>
        </w:rPr>
        <w:t>管理科学与工程学院，山东</w:t>
      </w:r>
      <w:r>
        <w:rPr>
          <w:rFonts w:ascii="宋体" w:eastAsia="宋体" w:hAnsi="宋体" w:cs="宋体" w:hint="eastAsia"/>
          <w:szCs w:val="21"/>
        </w:rPr>
        <w:t xml:space="preserve"> </w:t>
      </w:r>
      <w:r>
        <w:rPr>
          <w:rFonts w:ascii="宋体" w:eastAsia="宋体" w:hAnsi="宋体" w:cs="宋体" w:hint="eastAsia"/>
          <w:szCs w:val="21"/>
        </w:rPr>
        <w:t>济南，</w:t>
      </w:r>
      <w:r>
        <w:rPr>
          <w:rFonts w:ascii="宋体" w:eastAsia="宋体" w:hAnsi="宋体" w:cs="宋体" w:hint="eastAsia"/>
          <w:szCs w:val="21"/>
        </w:rPr>
        <w:t>250358,13791088970)</w:t>
      </w:r>
    </w:p>
    <w:p w:rsidR="007A0453" w:rsidRDefault="004E3E9B">
      <w:pPr>
        <w:widowControl/>
        <w:spacing w:after="313" w:line="400" w:lineRule="exact"/>
        <w:jc w:val="left"/>
        <w:rPr>
          <w:rFonts w:ascii="宋体" w:eastAsia="宋体" w:hAnsi="宋体" w:cs="宋体"/>
          <w:sz w:val="24"/>
        </w:rPr>
      </w:pPr>
      <w:r>
        <w:rPr>
          <w:rFonts w:ascii="Calibri Light" w:eastAsia="Calibri Light" w:hAnsi="Calibri Light" w:hint="eastAsia"/>
          <w:b/>
          <w:bCs/>
          <w:sz w:val="24"/>
        </w:rPr>
        <w:t>摘</w:t>
      </w:r>
      <w:r>
        <w:rPr>
          <w:rFonts w:ascii="Calibri Light" w:eastAsia="Calibri Light" w:hAnsi="Calibri Light" w:hint="eastAsia"/>
          <w:b/>
          <w:bCs/>
          <w:sz w:val="24"/>
        </w:rPr>
        <w:t xml:space="preserve">  </w:t>
      </w:r>
      <w:r>
        <w:rPr>
          <w:rFonts w:ascii="Calibri Light" w:eastAsia="Calibri Light" w:hAnsi="Calibri Light" w:hint="eastAsia"/>
          <w:b/>
          <w:bCs/>
          <w:sz w:val="24"/>
        </w:rPr>
        <w:t>要</w:t>
      </w:r>
      <w:r>
        <w:rPr>
          <w:rFonts w:ascii="宋体" w:eastAsia="宋体" w:hAnsi="宋体" w:cs="宋体"/>
          <w:sz w:val="24"/>
        </w:rPr>
        <w:t>：随着电子商务在农村地区的推广及发展，分析影响农村电子商务接受程度的因素成为重要的研究方向。本文利用技术接受模型，结合农村电子商务的现实情况，运用李克特五点记分量表法设计问卷，同时将所得数据进行因子分析，得出影响农村电子商务接受</w:t>
      </w:r>
      <w:r>
        <w:rPr>
          <w:rFonts w:ascii="宋体" w:eastAsia="宋体" w:hAnsi="宋体" w:cs="宋体" w:hint="eastAsia"/>
          <w:sz w:val="24"/>
        </w:rPr>
        <w:t>度</w:t>
      </w:r>
      <w:r>
        <w:rPr>
          <w:rFonts w:ascii="宋体" w:eastAsia="宋体" w:hAnsi="宋体" w:cs="宋体"/>
          <w:sz w:val="24"/>
        </w:rPr>
        <w:t>的主要因素为电商信任程度，个人差异和社会影响。</w:t>
      </w:r>
    </w:p>
    <w:p w:rsidR="007A0453" w:rsidRDefault="004E3E9B">
      <w:pPr>
        <w:widowControl/>
        <w:spacing w:after="313" w:line="400" w:lineRule="exact"/>
        <w:jc w:val="left"/>
        <w:rPr>
          <w:rFonts w:ascii="宋体" w:eastAsia="宋体" w:hAnsi="宋体" w:cs="宋体"/>
          <w:sz w:val="24"/>
        </w:rPr>
      </w:pPr>
      <w:r>
        <w:rPr>
          <w:rFonts w:ascii="Calibri Light" w:eastAsia="Calibri Light" w:hAnsi="Calibri Light" w:hint="eastAsia"/>
          <w:b/>
          <w:bCs/>
          <w:sz w:val="24"/>
        </w:rPr>
        <w:t>关键词</w:t>
      </w:r>
      <w:r>
        <w:rPr>
          <w:rFonts w:ascii="宋体" w:eastAsia="宋体" w:hAnsi="宋体" w:cs="宋体"/>
          <w:sz w:val="24"/>
        </w:rPr>
        <w:t>：农村电子商务</w:t>
      </w:r>
      <w:r>
        <w:rPr>
          <w:rFonts w:ascii="宋体" w:eastAsia="宋体" w:hAnsi="宋体" w:cs="宋体" w:hint="eastAsia"/>
          <w:sz w:val="24"/>
        </w:rPr>
        <w:t>；</w:t>
      </w:r>
      <w:r>
        <w:rPr>
          <w:rFonts w:ascii="宋体" w:eastAsia="宋体" w:hAnsi="宋体" w:cs="宋体"/>
          <w:sz w:val="24"/>
        </w:rPr>
        <w:t>技术接受模型</w:t>
      </w:r>
      <w:r>
        <w:rPr>
          <w:rFonts w:ascii="宋体" w:eastAsia="宋体" w:hAnsi="宋体" w:cs="宋体" w:hint="eastAsia"/>
          <w:sz w:val="24"/>
        </w:rPr>
        <w:t>；</w:t>
      </w:r>
      <w:r>
        <w:rPr>
          <w:rFonts w:ascii="宋体" w:eastAsia="宋体" w:hAnsi="宋体" w:cs="宋体"/>
          <w:sz w:val="24"/>
        </w:rPr>
        <w:t>因子分析</w:t>
      </w:r>
      <w:r>
        <w:rPr>
          <w:rFonts w:ascii="宋体" w:eastAsia="宋体" w:hAnsi="宋体" w:cs="宋体" w:hint="eastAsia"/>
          <w:sz w:val="24"/>
        </w:rPr>
        <w:t>；</w:t>
      </w:r>
      <w:r>
        <w:rPr>
          <w:rFonts w:ascii="宋体" w:eastAsia="宋体" w:hAnsi="宋体" w:cs="宋体"/>
          <w:sz w:val="24"/>
        </w:rPr>
        <w:t>接受率</w:t>
      </w:r>
    </w:p>
    <w:p w:rsidR="007A0453" w:rsidRDefault="004E3E9B">
      <w:pPr>
        <w:widowControl/>
        <w:spacing w:before="313" w:after="313" w:line="400" w:lineRule="exact"/>
        <w:jc w:val="left"/>
        <w:rPr>
          <w:rFonts w:ascii="Calibri Light" w:eastAsia="Calibri Light" w:hAnsi="Calibri Light"/>
          <w:sz w:val="28"/>
          <w:szCs w:val="28"/>
        </w:rPr>
      </w:pPr>
      <w:r>
        <w:rPr>
          <w:rFonts w:ascii="Calibri Light" w:eastAsia="Calibri Light" w:hAnsi="Calibri Light" w:hint="eastAsia"/>
          <w:sz w:val="28"/>
          <w:szCs w:val="28"/>
        </w:rPr>
        <w:t>一</w:t>
      </w:r>
      <w:r>
        <w:rPr>
          <w:rFonts w:ascii="Calibri Light" w:eastAsia="Calibri Light" w:hAnsi="Calibri Light" w:hint="eastAsia"/>
          <w:sz w:val="28"/>
          <w:szCs w:val="28"/>
        </w:rPr>
        <w:t xml:space="preserve"> </w:t>
      </w:r>
      <w:r>
        <w:rPr>
          <w:rFonts w:ascii="Calibri Light" w:eastAsia="Calibri Light" w:hAnsi="Calibri Light" w:hint="eastAsia"/>
          <w:b/>
          <w:bCs/>
          <w:sz w:val="28"/>
          <w:szCs w:val="28"/>
        </w:rPr>
        <w:t>引言</w:t>
      </w:r>
    </w:p>
    <w:p w:rsidR="007A0453" w:rsidRDefault="004E3E9B">
      <w:pPr>
        <w:widowControl/>
        <w:spacing w:before="313" w:after="313" w:line="400" w:lineRule="exact"/>
        <w:ind w:firstLine="480"/>
        <w:jc w:val="left"/>
        <w:rPr>
          <w:rFonts w:ascii="宋体" w:hAnsi="宋体" w:cs="宋体"/>
          <w:sz w:val="24"/>
        </w:rPr>
      </w:pPr>
      <w:r>
        <w:rPr>
          <w:rFonts w:ascii="宋体" w:hAnsi="宋体" w:cs="宋体"/>
          <w:sz w:val="24"/>
        </w:rPr>
        <w:t>中国互联网络信息中心</w:t>
      </w:r>
      <w:r>
        <w:rPr>
          <w:rFonts w:ascii="宋体" w:hAnsi="宋体" w:cs="宋体"/>
          <w:sz w:val="24"/>
        </w:rPr>
        <w:t>(</w:t>
      </w:r>
      <w:r>
        <w:rPr>
          <w:rFonts w:ascii="Times New Roman" w:hAnsi="Times New Roman"/>
          <w:sz w:val="24"/>
        </w:rPr>
        <w:t>CNNIC</w:t>
      </w:r>
      <w:r>
        <w:rPr>
          <w:rFonts w:ascii="宋体" w:hAnsi="宋体" w:cs="宋体"/>
          <w:sz w:val="24"/>
        </w:rPr>
        <w:t>)</w:t>
      </w:r>
      <w:r>
        <w:rPr>
          <w:rFonts w:ascii="宋体" w:hAnsi="宋体" w:cs="宋体"/>
          <w:sz w:val="24"/>
        </w:rPr>
        <w:t>发布的数字显示，截至</w:t>
      </w:r>
      <w:r>
        <w:rPr>
          <w:rFonts w:ascii="Times New Roman" w:hAnsi="Times New Roman"/>
          <w:sz w:val="24"/>
        </w:rPr>
        <w:t>2016</w:t>
      </w:r>
      <w:r>
        <w:rPr>
          <w:rFonts w:ascii="宋体" w:hAnsi="宋体" w:cs="宋体"/>
          <w:sz w:val="24"/>
        </w:rPr>
        <w:t>年</w:t>
      </w:r>
      <w:r>
        <w:rPr>
          <w:rFonts w:ascii="Times New Roman" w:hAnsi="Times New Roman"/>
          <w:sz w:val="24"/>
        </w:rPr>
        <w:t>6</w:t>
      </w:r>
      <w:r>
        <w:rPr>
          <w:rFonts w:ascii="宋体" w:hAnsi="宋体" w:cs="宋体"/>
          <w:sz w:val="24"/>
        </w:rPr>
        <w:t>月，我国农村网民占比</w:t>
      </w:r>
      <w:r>
        <w:rPr>
          <w:rFonts w:ascii="Times New Roman" w:hAnsi="Times New Roman"/>
          <w:sz w:val="24"/>
        </w:rPr>
        <w:t>26.9</w:t>
      </w:r>
      <w:r>
        <w:rPr>
          <w:rFonts w:ascii="宋体" w:hAnsi="宋体" w:cs="宋体"/>
          <w:sz w:val="24"/>
        </w:rPr>
        <w:t>%</w:t>
      </w:r>
      <w:r>
        <w:rPr>
          <w:rFonts w:ascii="宋体" w:hAnsi="宋体" w:cs="宋体"/>
          <w:sz w:val="24"/>
        </w:rPr>
        <w:t>，规模为</w:t>
      </w:r>
      <w:r>
        <w:rPr>
          <w:rFonts w:ascii="Times New Roman" w:hAnsi="Times New Roman"/>
          <w:sz w:val="24"/>
        </w:rPr>
        <w:t>1.91</w:t>
      </w:r>
      <w:r>
        <w:rPr>
          <w:rFonts w:ascii="宋体" w:hAnsi="宋体" w:cs="宋体"/>
          <w:sz w:val="24"/>
        </w:rPr>
        <w:t>亿</w:t>
      </w:r>
      <w:r>
        <w:rPr>
          <w:rFonts w:ascii="宋体" w:hAnsi="宋体" w:cs="宋体"/>
          <w:sz w:val="24"/>
        </w:rPr>
        <w:t>,</w:t>
      </w:r>
      <w:r>
        <w:rPr>
          <w:rFonts w:ascii="宋体" w:hAnsi="宋体" w:cs="宋体"/>
          <w:sz w:val="24"/>
        </w:rPr>
        <w:t>农村电商规模由</w:t>
      </w:r>
      <w:r>
        <w:rPr>
          <w:rFonts w:ascii="Times New Roman" w:hAnsi="Times New Roman"/>
          <w:sz w:val="24"/>
        </w:rPr>
        <w:t>2014</w:t>
      </w:r>
      <w:r>
        <w:rPr>
          <w:rFonts w:ascii="宋体" w:hAnsi="宋体" w:cs="宋体"/>
          <w:sz w:val="24"/>
        </w:rPr>
        <w:t>年的</w:t>
      </w:r>
      <w:r>
        <w:rPr>
          <w:rFonts w:ascii="Times New Roman" w:hAnsi="Times New Roman"/>
          <w:sz w:val="24"/>
        </w:rPr>
        <w:t>1800</w:t>
      </w:r>
      <w:r>
        <w:rPr>
          <w:rFonts w:ascii="宋体" w:hAnsi="宋体" w:cs="宋体"/>
          <w:sz w:val="24"/>
        </w:rPr>
        <w:t>亿发展为</w:t>
      </w:r>
      <w:r>
        <w:rPr>
          <w:rFonts w:ascii="Times New Roman" w:hAnsi="Times New Roman"/>
          <w:sz w:val="24"/>
        </w:rPr>
        <w:t>2016</w:t>
      </w:r>
      <w:r>
        <w:rPr>
          <w:rFonts w:ascii="宋体" w:hAnsi="宋体" w:cs="宋体"/>
          <w:sz w:val="24"/>
        </w:rPr>
        <w:t>年的</w:t>
      </w:r>
      <w:r>
        <w:rPr>
          <w:rFonts w:ascii="Times New Roman" w:hAnsi="Times New Roman"/>
          <w:sz w:val="24"/>
        </w:rPr>
        <w:t>4600</w:t>
      </w:r>
      <w:r>
        <w:rPr>
          <w:rFonts w:ascii="宋体" w:hAnsi="宋体" w:cs="宋体"/>
          <w:sz w:val="24"/>
        </w:rPr>
        <w:t>亿</w:t>
      </w:r>
      <w:r>
        <w:rPr>
          <w:rFonts w:ascii="宋体" w:hAnsi="宋体" w:cs="宋体" w:hint="eastAsia"/>
          <w:sz w:val="24"/>
        </w:rPr>
        <w:t>。</w:t>
      </w:r>
      <w:r>
        <w:rPr>
          <w:rFonts w:ascii="宋体" w:hAnsi="宋体" w:cs="宋体"/>
          <w:sz w:val="24"/>
        </w:rPr>
        <w:t>伴随着政府的大力支持，相关企业资金的注入，我国农村地区电子商务建设取得较大进展，农村电商规模持续增长</w:t>
      </w:r>
      <w:r>
        <w:rPr>
          <w:rFonts w:ascii="宋体" w:hAnsi="宋体" w:cs="宋体" w:hint="eastAsia"/>
          <w:sz w:val="24"/>
        </w:rPr>
        <w:t>，</w:t>
      </w:r>
      <w:r>
        <w:rPr>
          <w:rFonts w:ascii="宋体" w:hAnsi="宋体" w:cs="宋体"/>
          <w:sz w:val="24"/>
        </w:rPr>
        <w:t>已经成为电商发展新引擎。但是物流配送受限、目标消费群体不会操作、信任问题凸显、平台引流困难等问题使得农村电子商务的接受状况不甚乐观，因此研究影响农村电子商务接受度的因素对于推进农村电子商务的发展具有重要的意义。</w:t>
      </w:r>
    </w:p>
    <w:p w:rsidR="007A0453" w:rsidRDefault="004E3E9B">
      <w:pPr>
        <w:widowControl/>
        <w:spacing w:before="313" w:after="313" w:line="400" w:lineRule="exact"/>
        <w:ind w:firstLine="480"/>
        <w:jc w:val="left"/>
        <w:rPr>
          <w:rFonts w:ascii="宋体" w:hAnsi="宋体" w:cs="宋体"/>
          <w:sz w:val="24"/>
        </w:rPr>
      </w:pPr>
      <w:r>
        <w:rPr>
          <w:rFonts w:ascii="宋体" w:hAnsi="宋体" w:cs="宋体"/>
          <w:sz w:val="24"/>
        </w:rPr>
        <w:t>经文献计量法分析显示，目前我国有关农村用户电子商务接受度影响因素的研究较少，对于农村电子商务的研究主要集中在农村电子商务发展的作用、现状及对策研究、农产品电子商务交易平台的平台建设与技术研究、农产品电子商务模式研究、农产品电子物流研究及针对典型农产品电子商务案例的分析研究等五个方面。国内学者洪勇</w:t>
      </w:r>
      <w:r>
        <w:rPr>
          <w:rFonts w:ascii="宋体" w:hAnsi="宋体" w:cs="宋体" w:hint="eastAsia"/>
          <w:sz w:val="24"/>
        </w:rPr>
        <w:t>（</w:t>
      </w:r>
      <w:r>
        <w:rPr>
          <w:rFonts w:ascii="Times New Roman" w:hAnsi="Times New Roman"/>
          <w:sz w:val="24"/>
        </w:rPr>
        <w:t>2</w:t>
      </w:r>
      <w:r>
        <w:rPr>
          <w:rFonts w:ascii="Times New Roman" w:hAnsi="Times New Roman"/>
          <w:sz w:val="24"/>
        </w:rPr>
        <w:t>016</w:t>
      </w:r>
      <w:r>
        <w:rPr>
          <w:rFonts w:ascii="宋体" w:hAnsi="宋体" w:cs="宋体" w:hint="eastAsia"/>
          <w:sz w:val="24"/>
        </w:rPr>
        <w:t>）</w:t>
      </w:r>
      <w:r>
        <w:rPr>
          <w:rFonts w:ascii="宋体" w:hAnsi="宋体" w:cs="宋体"/>
          <w:sz w:val="24"/>
        </w:rPr>
        <w:t>等研究发现</w:t>
      </w:r>
      <w:r>
        <w:rPr>
          <w:rFonts w:ascii="宋体" w:hAnsi="宋体" w:cs="宋体" w:hint="eastAsia"/>
          <w:sz w:val="24"/>
        </w:rPr>
        <w:t>,</w:t>
      </w:r>
      <w:r>
        <w:rPr>
          <w:rFonts w:ascii="宋体" w:hAnsi="宋体" w:cs="宋体"/>
          <w:sz w:val="24"/>
        </w:rPr>
        <w:t>我国农村电子商务发展现状主要有农村跨境电商逐渐兴起、农村电商生态系统逐渐完善、农村电商产业链向两端延伸、线上线下融合、多渠道扩展，并在此基础上提出了不断完善农村电商服务体系、加强农村电商人才培养、实施品牌化、差异化策略等建议</w:t>
      </w:r>
      <w:r>
        <w:rPr>
          <w:rFonts w:ascii="宋体" w:hAnsi="宋体" w:cs="宋体" w:hint="eastAsia"/>
          <w:sz w:val="24"/>
          <w:vertAlign w:val="superscript"/>
        </w:rPr>
        <w:t>[</w:t>
      </w:r>
      <w:r>
        <w:rPr>
          <w:rFonts w:ascii="Times New Roman" w:hAnsi="Times New Roman"/>
          <w:sz w:val="24"/>
          <w:vertAlign w:val="superscript"/>
        </w:rPr>
        <w:t>1</w:t>
      </w:r>
      <w:r>
        <w:rPr>
          <w:rFonts w:ascii="宋体" w:hAnsi="宋体" w:cs="宋体" w:hint="eastAsia"/>
          <w:sz w:val="24"/>
          <w:vertAlign w:val="superscript"/>
        </w:rPr>
        <w:t>]</w:t>
      </w:r>
      <w:r>
        <w:rPr>
          <w:rFonts w:ascii="宋体" w:hAnsi="宋体" w:cs="宋体"/>
          <w:sz w:val="24"/>
        </w:rPr>
        <w:t>；张胜军</w:t>
      </w:r>
      <w:r>
        <w:rPr>
          <w:rFonts w:ascii="宋体" w:hAnsi="宋体" w:cs="宋体" w:hint="eastAsia"/>
          <w:sz w:val="24"/>
        </w:rPr>
        <w:t>（</w:t>
      </w:r>
      <w:r>
        <w:rPr>
          <w:rFonts w:ascii="Times New Roman" w:hAnsi="Times New Roman"/>
          <w:sz w:val="24"/>
        </w:rPr>
        <w:t>2011</w:t>
      </w:r>
      <w:r>
        <w:rPr>
          <w:rFonts w:ascii="宋体" w:hAnsi="宋体" w:cs="宋体" w:hint="eastAsia"/>
          <w:sz w:val="24"/>
        </w:rPr>
        <w:t>）</w:t>
      </w:r>
      <w:r>
        <w:rPr>
          <w:rFonts w:ascii="宋体" w:hAnsi="宋体" w:cs="宋体"/>
          <w:sz w:val="24"/>
        </w:rPr>
        <w:t>等国内学者在研究我国农村电子商务平台建设与技术研究中</w:t>
      </w:r>
      <w:r>
        <w:rPr>
          <w:rFonts w:ascii="宋体" w:hAnsi="宋体" w:cs="宋体" w:hint="eastAsia"/>
          <w:sz w:val="24"/>
        </w:rPr>
        <w:t>，</w:t>
      </w:r>
      <w:r>
        <w:rPr>
          <w:rFonts w:ascii="宋体" w:hAnsi="宋体" w:cs="宋体"/>
          <w:sz w:val="24"/>
        </w:rPr>
        <w:t>从我国农村信息基础设施、农产品商务信息服务、农产品电子商务交易和农产品电子商务人才培养四个方面进行总结与评价，并且提出加强农产品电子商务平台基础设施建设、加强农产品电子商务第三方平台建设等</w:t>
      </w:r>
      <w:r>
        <w:rPr>
          <w:rFonts w:ascii="宋体" w:hAnsi="宋体" w:cs="宋体"/>
          <w:sz w:val="24"/>
        </w:rPr>
        <w:t>建议</w:t>
      </w:r>
      <w:r>
        <w:rPr>
          <w:rFonts w:ascii="宋体" w:hAnsi="宋体" w:cs="宋体" w:hint="eastAsia"/>
          <w:sz w:val="24"/>
          <w:vertAlign w:val="superscript"/>
        </w:rPr>
        <w:t>[</w:t>
      </w:r>
      <w:r>
        <w:rPr>
          <w:rFonts w:ascii="Times New Roman" w:hAnsi="Times New Roman"/>
          <w:sz w:val="24"/>
          <w:vertAlign w:val="superscript"/>
        </w:rPr>
        <w:t>2</w:t>
      </w:r>
      <w:r>
        <w:rPr>
          <w:rFonts w:ascii="宋体" w:hAnsi="宋体" w:cs="宋体" w:hint="eastAsia"/>
          <w:sz w:val="24"/>
          <w:vertAlign w:val="superscript"/>
        </w:rPr>
        <w:t>]</w:t>
      </w:r>
      <w:r>
        <w:rPr>
          <w:rFonts w:ascii="宋体" w:hAnsi="宋体" w:cs="宋体"/>
          <w:sz w:val="24"/>
        </w:rPr>
        <w:t>；罗应机等学者在对我国农村电子商务模式研究中提出</w:t>
      </w:r>
      <w:r>
        <w:rPr>
          <w:rFonts w:ascii="宋体" w:hAnsi="宋体" w:cs="宋体"/>
          <w:sz w:val="24"/>
        </w:rPr>
        <w:t>“</w:t>
      </w:r>
      <w:r>
        <w:rPr>
          <w:rFonts w:ascii="宋体" w:hAnsi="宋体" w:cs="宋体"/>
          <w:sz w:val="24"/>
        </w:rPr>
        <w:t>三点两面</w:t>
      </w:r>
      <w:r>
        <w:rPr>
          <w:rFonts w:ascii="宋体" w:hAnsi="宋体" w:cs="宋体"/>
          <w:sz w:val="24"/>
        </w:rPr>
        <w:t>”</w:t>
      </w:r>
      <w:r>
        <w:rPr>
          <w:rFonts w:ascii="宋体" w:hAnsi="宋体" w:cs="宋体"/>
          <w:sz w:val="24"/>
        </w:rPr>
        <w:t>盈利模式，结合商务模式和价值创造理论，分析农村电子商务发展模式维度内</w:t>
      </w:r>
      <w:r>
        <w:rPr>
          <w:rFonts w:ascii="宋体" w:hAnsi="宋体" w:cs="宋体"/>
          <w:sz w:val="24"/>
        </w:rPr>
        <w:lastRenderedPageBreak/>
        <w:t>部逻辑关系和空间结</w:t>
      </w:r>
      <w:r>
        <w:rPr>
          <w:rFonts w:ascii="宋体" w:hAnsi="宋体" w:cs="宋体" w:hint="eastAsia"/>
          <w:sz w:val="24"/>
        </w:rPr>
        <w:t>构</w:t>
      </w:r>
      <w:r>
        <w:rPr>
          <w:rFonts w:ascii="宋体" w:hAnsi="宋体" w:cs="宋体" w:hint="eastAsia"/>
          <w:sz w:val="24"/>
          <w:vertAlign w:val="superscript"/>
        </w:rPr>
        <w:t>[3]</w:t>
      </w:r>
      <w:r>
        <w:rPr>
          <w:rFonts w:ascii="宋体" w:hAnsi="宋体" w:cs="宋体"/>
          <w:sz w:val="24"/>
        </w:rPr>
        <w:t>；在我国农村电子商务物流现状</w:t>
      </w:r>
      <w:r>
        <w:rPr>
          <w:rFonts w:ascii="宋体" w:hAnsi="宋体" w:cs="宋体" w:hint="eastAsia"/>
          <w:sz w:val="24"/>
        </w:rPr>
        <w:t>及</w:t>
      </w:r>
      <w:r>
        <w:rPr>
          <w:rFonts w:ascii="宋体" w:hAnsi="宋体" w:cs="宋体"/>
          <w:sz w:val="24"/>
        </w:rPr>
        <w:t>模式研究方面</w:t>
      </w:r>
      <w:r>
        <w:rPr>
          <w:rFonts w:ascii="宋体" w:hAnsi="宋体" w:cs="宋体" w:hint="eastAsia"/>
          <w:sz w:val="24"/>
        </w:rPr>
        <w:t>，</w:t>
      </w:r>
      <w:r>
        <w:rPr>
          <w:rFonts w:ascii="宋体" w:hAnsi="宋体" w:cs="宋体"/>
          <w:sz w:val="24"/>
        </w:rPr>
        <w:t>刘维</w:t>
      </w:r>
      <w:r>
        <w:rPr>
          <w:rFonts w:ascii="宋体" w:hAnsi="宋体" w:cs="宋体" w:hint="eastAsia"/>
          <w:sz w:val="24"/>
        </w:rPr>
        <w:t>（</w:t>
      </w:r>
      <w:r>
        <w:rPr>
          <w:rFonts w:ascii="Times New Roman" w:hAnsi="Times New Roman"/>
          <w:sz w:val="24"/>
        </w:rPr>
        <w:t>2013</w:t>
      </w:r>
      <w:r>
        <w:rPr>
          <w:rFonts w:ascii="宋体" w:hAnsi="宋体" w:cs="宋体" w:hint="eastAsia"/>
          <w:sz w:val="24"/>
        </w:rPr>
        <w:t>）</w:t>
      </w:r>
      <w:r>
        <w:rPr>
          <w:rFonts w:ascii="宋体" w:hAnsi="宋体" w:cs="宋体"/>
          <w:sz w:val="24"/>
        </w:rPr>
        <w:t>等学者对农村电子商务物流现状进行分析，认为交通环境落后、消费环境差、物流发展制度与设施不完善、信息技术落后是目前农村电子商务物流存在的主要问题，并且对比分析农村电子商务物流配送的几个模式，在此基础上构建我国农村电子商务高速发展背景下的物流配送模式，提出在超市设置自提点、利用客运车随车配送</w:t>
      </w:r>
      <w:r>
        <w:rPr>
          <w:rFonts w:ascii="宋体" w:hAnsi="宋体" w:cs="宋体"/>
          <w:sz w:val="24"/>
        </w:rPr>
        <w:t>、加强与邮政公司合作等建议措施；在我国农村电子商务典型案例分析研究方面</w:t>
      </w:r>
      <w:r>
        <w:rPr>
          <w:rFonts w:ascii="宋体" w:hAnsi="宋体" w:cs="宋体" w:hint="eastAsia"/>
          <w:sz w:val="24"/>
          <w:vertAlign w:val="superscript"/>
        </w:rPr>
        <w:t>[</w:t>
      </w:r>
      <w:r>
        <w:rPr>
          <w:rFonts w:ascii="Times New Roman" w:hAnsi="Times New Roman"/>
          <w:sz w:val="24"/>
          <w:vertAlign w:val="superscript"/>
        </w:rPr>
        <w:t>4</w:t>
      </w:r>
      <w:r>
        <w:rPr>
          <w:rFonts w:ascii="宋体" w:hAnsi="宋体" w:cs="宋体" w:hint="eastAsia"/>
          <w:sz w:val="24"/>
          <w:vertAlign w:val="superscript"/>
        </w:rPr>
        <w:t>]</w:t>
      </w:r>
      <w:r>
        <w:rPr>
          <w:rFonts w:ascii="宋体" w:hAnsi="宋体" w:cs="宋体" w:hint="eastAsia"/>
          <w:sz w:val="24"/>
        </w:rPr>
        <w:t>;</w:t>
      </w:r>
      <w:r>
        <w:rPr>
          <w:rFonts w:ascii="宋体" w:hAnsi="宋体" w:cs="宋体"/>
          <w:sz w:val="24"/>
        </w:rPr>
        <w:t>刘静</w:t>
      </w:r>
      <w:r>
        <w:rPr>
          <w:rFonts w:ascii="宋体" w:hAnsi="宋体" w:cs="宋体" w:hint="eastAsia"/>
          <w:sz w:val="24"/>
        </w:rPr>
        <w:t>（</w:t>
      </w:r>
      <w:r>
        <w:rPr>
          <w:rFonts w:ascii="Times New Roman" w:hAnsi="Times New Roman"/>
          <w:sz w:val="24"/>
        </w:rPr>
        <w:t>2015</w:t>
      </w:r>
      <w:r>
        <w:rPr>
          <w:rFonts w:ascii="宋体" w:hAnsi="宋体" w:cs="宋体" w:hint="eastAsia"/>
          <w:sz w:val="24"/>
        </w:rPr>
        <w:t>）</w:t>
      </w:r>
      <w:r>
        <w:rPr>
          <w:rFonts w:ascii="宋体" w:hAnsi="宋体" w:cs="宋体"/>
          <w:sz w:val="24"/>
        </w:rPr>
        <w:t>等学者对江苏省</w:t>
      </w:r>
      <w:r>
        <w:rPr>
          <w:rFonts w:ascii="宋体" w:hAnsi="宋体" w:cs="宋体"/>
          <w:sz w:val="24"/>
        </w:rPr>
        <w:t>“</w:t>
      </w:r>
      <w:r>
        <w:rPr>
          <w:rFonts w:ascii="宋体" w:hAnsi="宋体" w:cs="宋体"/>
          <w:sz w:val="24"/>
        </w:rPr>
        <w:t>淘宝村</w:t>
      </w:r>
      <w:r>
        <w:rPr>
          <w:rFonts w:ascii="宋体" w:hAnsi="宋体" w:cs="宋体"/>
          <w:sz w:val="24"/>
        </w:rPr>
        <w:t>”</w:t>
      </w:r>
      <w:r>
        <w:rPr>
          <w:rFonts w:ascii="宋体" w:hAnsi="宋体" w:cs="宋体"/>
          <w:sz w:val="24"/>
        </w:rPr>
        <w:t>进行案例分析，在了解运行现状的基础上，分析</w:t>
      </w:r>
      <w:r>
        <w:rPr>
          <w:rFonts w:ascii="宋体" w:hAnsi="宋体" w:cs="宋体"/>
          <w:sz w:val="24"/>
        </w:rPr>
        <w:t>“</w:t>
      </w:r>
      <w:r>
        <w:rPr>
          <w:rFonts w:ascii="宋体" w:hAnsi="宋体" w:cs="宋体"/>
          <w:sz w:val="24"/>
        </w:rPr>
        <w:t>淘宝村</w:t>
      </w:r>
      <w:r>
        <w:rPr>
          <w:rFonts w:ascii="宋体" w:hAnsi="宋体" w:cs="宋体"/>
          <w:sz w:val="24"/>
        </w:rPr>
        <w:t>”</w:t>
      </w:r>
      <w:r>
        <w:rPr>
          <w:rFonts w:ascii="宋体" w:hAnsi="宋体" w:cs="宋体"/>
          <w:sz w:val="24"/>
        </w:rPr>
        <w:t>现存的问题，提出用政府力量协调用地、树立品牌观念、加强电商协会职能、加强农村基础设施建设等农村新兴经营模式建议</w:t>
      </w:r>
      <w:r>
        <w:rPr>
          <w:rFonts w:ascii="宋体" w:hAnsi="宋体" w:cs="宋体" w:hint="eastAsia"/>
          <w:sz w:val="24"/>
          <w:vertAlign w:val="superscript"/>
        </w:rPr>
        <w:t>[</w:t>
      </w:r>
      <w:r>
        <w:rPr>
          <w:rFonts w:ascii="Times New Roman" w:hAnsi="Times New Roman"/>
          <w:sz w:val="24"/>
          <w:vertAlign w:val="superscript"/>
        </w:rPr>
        <w:t>5</w:t>
      </w:r>
      <w:r>
        <w:rPr>
          <w:rFonts w:ascii="宋体" w:hAnsi="宋体" w:cs="宋体" w:hint="eastAsia"/>
          <w:sz w:val="24"/>
          <w:vertAlign w:val="superscript"/>
        </w:rPr>
        <w:t>]</w:t>
      </w:r>
      <w:r>
        <w:rPr>
          <w:rFonts w:ascii="宋体" w:hAnsi="宋体" w:cs="宋体"/>
          <w:sz w:val="24"/>
        </w:rPr>
        <w:t>。</w:t>
      </w:r>
      <w:r>
        <w:rPr>
          <w:rFonts w:ascii="宋体" w:hAnsi="宋体" w:cs="宋体" w:hint="eastAsia"/>
          <w:sz w:val="24"/>
        </w:rPr>
        <w:t>本文在现有研究的基础上，从用户的角度出发，运用技术接受模型分析影响农村电子商务接受的因素。</w:t>
      </w:r>
    </w:p>
    <w:p w:rsidR="007A0453" w:rsidRDefault="004E3E9B">
      <w:pPr>
        <w:widowControl/>
        <w:spacing w:before="313" w:after="313" w:line="400" w:lineRule="exact"/>
        <w:ind w:firstLine="480"/>
        <w:jc w:val="left"/>
        <w:rPr>
          <w:rFonts w:ascii="宋体" w:eastAsia="宋体" w:hAnsi="宋体" w:cs="宋体"/>
          <w:sz w:val="24"/>
        </w:rPr>
      </w:pPr>
      <w:r>
        <w:rPr>
          <w:rFonts w:ascii="宋体" w:hAnsi="宋体" w:cs="宋体"/>
          <w:sz w:val="24"/>
        </w:rPr>
        <w:t>技术接受模型是运用理性行为理论</w:t>
      </w:r>
      <w:r>
        <w:rPr>
          <w:rFonts w:ascii="宋体" w:hAnsi="宋体" w:cs="宋体" w:hint="eastAsia"/>
          <w:sz w:val="24"/>
        </w:rPr>
        <w:t>，针对</w:t>
      </w:r>
      <w:r>
        <w:rPr>
          <w:rFonts w:ascii="宋体" w:hAnsi="宋体" w:cs="宋体"/>
          <w:sz w:val="24"/>
        </w:rPr>
        <w:t>最终用户对信息系统接收行为研究提出的模型，它将内部信念、态度、动机和不同的个人之间的差异、环境约束、可控制的干扰之间建立起联系</w:t>
      </w:r>
      <w:r>
        <w:rPr>
          <w:rFonts w:ascii="宋体" w:hAnsi="宋体" w:cs="宋体" w:hint="eastAsia"/>
          <w:sz w:val="24"/>
        </w:rPr>
        <w:t>。</w:t>
      </w:r>
      <w:r>
        <w:rPr>
          <w:rFonts w:ascii="宋体" w:hAnsi="宋体" w:cs="宋体"/>
          <w:sz w:val="24"/>
        </w:rPr>
        <w:t>本文从农村用户的角度出发，分析影响农村电子商务接受度因素的重要程度，较好的契合技术接受模型的条件和特点。</w:t>
      </w:r>
    </w:p>
    <w:p w:rsidR="007A0453" w:rsidRDefault="004E3E9B">
      <w:pPr>
        <w:spacing w:before="312" w:after="312" w:line="360" w:lineRule="auto"/>
        <w:rPr>
          <w:rFonts w:ascii="Calibri Light" w:eastAsia="Calibri Light" w:hAnsi="Calibri Light"/>
          <w:b/>
          <w:bCs/>
          <w:sz w:val="28"/>
          <w:szCs w:val="28"/>
        </w:rPr>
      </w:pPr>
      <w:r>
        <w:rPr>
          <w:rFonts w:ascii="Calibri Light" w:eastAsia="Calibri Light" w:hAnsi="Calibri Light" w:hint="eastAsia"/>
          <w:b/>
          <w:bCs/>
          <w:sz w:val="28"/>
          <w:szCs w:val="28"/>
        </w:rPr>
        <w:t>二</w:t>
      </w:r>
      <w:r>
        <w:rPr>
          <w:rFonts w:ascii="Calibri Light" w:eastAsia="Calibri Light" w:hAnsi="Calibri Light" w:hint="eastAsia"/>
          <w:b/>
          <w:bCs/>
          <w:sz w:val="28"/>
          <w:szCs w:val="28"/>
        </w:rPr>
        <w:t xml:space="preserve"> </w:t>
      </w:r>
      <w:r>
        <w:rPr>
          <w:rFonts w:ascii="Calibri Light" w:eastAsia="Calibri Light" w:hAnsi="Calibri Light" w:hint="eastAsia"/>
          <w:b/>
          <w:bCs/>
          <w:sz w:val="28"/>
          <w:szCs w:val="28"/>
        </w:rPr>
        <w:t>模型构建</w:t>
      </w:r>
    </w:p>
    <w:p w:rsidR="007A0453" w:rsidRDefault="004E3E9B">
      <w:pPr>
        <w:spacing w:before="157" w:after="157" w:line="360" w:lineRule="auto"/>
        <w:jc w:val="left"/>
        <w:rPr>
          <w:rFonts w:ascii="Calibri Light" w:eastAsia="Calibri Light" w:hAnsi="Calibri Light"/>
          <w:b/>
          <w:bCs/>
          <w:szCs w:val="21"/>
        </w:rPr>
      </w:pPr>
      <w:r>
        <w:rPr>
          <w:rFonts w:ascii="Calibri Light" w:eastAsia="Calibri Light" w:hAnsi="Calibri Light" w:hint="eastAsia"/>
          <w:b/>
          <w:bCs/>
          <w:szCs w:val="21"/>
        </w:rPr>
        <w:t>（一）</w:t>
      </w:r>
      <w:r>
        <w:rPr>
          <w:rFonts w:ascii="Calibri Light" w:eastAsia="Calibri Light" w:hAnsi="Calibri Light" w:hint="eastAsia"/>
          <w:b/>
          <w:bCs/>
          <w:szCs w:val="21"/>
        </w:rPr>
        <w:t xml:space="preserve"> </w:t>
      </w:r>
      <w:r>
        <w:rPr>
          <w:rFonts w:ascii="Calibri Light" w:eastAsia="Calibri Light" w:hAnsi="Calibri Light" w:hint="eastAsia"/>
          <w:b/>
          <w:bCs/>
          <w:szCs w:val="21"/>
        </w:rPr>
        <w:t>技术接受模型</w:t>
      </w:r>
    </w:p>
    <w:p w:rsidR="007A0453" w:rsidRDefault="004E3E9B">
      <w:pPr>
        <w:spacing w:line="400" w:lineRule="exact"/>
        <w:ind w:firstLine="480"/>
        <w:rPr>
          <w:sz w:val="24"/>
        </w:rPr>
      </w:pPr>
      <w:r>
        <w:rPr>
          <w:sz w:val="24"/>
        </w:rPr>
        <w:t>技术接受模型（</w:t>
      </w:r>
      <w:r>
        <w:rPr>
          <w:rFonts w:ascii="Times New Roman" w:hAnsi="Times New Roman"/>
          <w:sz w:val="24"/>
        </w:rPr>
        <w:t>Technology Acceptance Model</w:t>
      </w:r>
      <w:r>
        <w:rPr>
          <w:sz w:val="24"/>
        </w:rPr>
        <w:t>，简称</w:t>
      </w:r>
      <w:r>
        <w:rPr>
          <w:rFonts w:ascii="Times New Roman" w:hAnsi="Times New Roman"/>
          <w:sz w:val="24"/>
        </w:rPr>
        <w:t>TAM</w:t>
      </w:r>
      <w:r>
        <w:rPr>
          <w:sz w:val="24"/>
        </w:rPr>
        <w:t>）是</w:t>
      </w:r>
      <w:r>
        <w:rPr>
          <w:rFonts w:ascii="Times New Roman" w:hAnsi="Times New Roman"/>
          <w:sz w:val="24"/>
        </w:rPr>
        <w:t>Davis</w:t>
      </w:r>
      <w:r>
        <w:rPr>
          <w:sz w:val="24"/>
        </w:rPr>
        <w:t>运用理性行为理论研究用户对信息系统接受时所提出的模型。技术接受模型提出了两个主要的决定因素</w:t>
      </w:r>
      <w:r>
        <w:rPr>
          <w:sz w:val="24"/>
        </w:rPr>
        <w:t>:①</w:t>
      </w:r>
      <w:r>
        <w:rPr>
          <w:sz w:val="24"/>
        </w:rPr>
        <w:t>感知的有用性</w:t>
      </w:r>
      <w:r>
        <w:rPr>
          <w:sz w:val="24"/>
        </w:rPr>
        <w:t>(</w:t>
      </w:r>
      <w:r>
        <w:rPr>
          <w:rFonts w:ascii="Times New Roman" w:hAnsi="Times New Roman"/>
          <w:sz w:val="24"/>
        </w:rPr>
        <w:t>perceived usefulness</w:t>
      </w:r>
      <w:r>
        <w:rPr>
          <w:sz w:val="24"/>
        </w:rPr>
        <w:t>,</w:t>
      </w:r>
      <w:r>
        <w:rPr>
          <w:rFonts w:ascii="Times New Roman" w:hAnsi="Times New Roman"/>
          <w:sz w:val="24"/>
        </w:rPr>
        <w:t>PU</w:t>
      </w:r>
      <w:r>
        <w:rPr>
          <w:sz w:val="24"/>
        </w:rPr>
        <w:t>)</w:t>
      </w:r>
      <w:r>
        <w:rPr>
          <w:sz w:val="24"/>
        </w:rPr>
        <w:t>，反映一个人认为使用一个具体的系统对他工作业绩提高的程度</w:t>
      </w:r>
      <w:r>
        <w:rPr>
          <w:sz w:val="24"/>
        </w:rPr>
        <w:t>;②</w:t>
      </w:r>
      <w:r>
        <w:rPr>
          <w:sz w:val="24"/>
        </w:rPr>
        <w:t>感知的易用性</w:t>
      </w:r>
      <w:r>
        <w:rPr>
          <w:sz w:val="24"/>
        </w:rPr>
        <w:t>(</w:t>
      </w:r>
      <w:r>
        <w:rPr>
          <w:rFonts w:ascii="Times New Roman" w:hAnsi="Times New Roman"/>
          <w:sz w:val="24"/>
        </w:rPr>
        <w:t>perceived ease of use</w:t>
      </w:r>
      <w:r>
        <w:rPr>
          <w:sz w:val="24"/>
        </w:rPr>
        <w:t>,</w:t>
      </w:r>
      <w:r>
        <w:rPr>
          <w:rFonts w:ascii="Times New Roman" w:hAnsi="Times New Roman"/>
          <w:sz w:val="24"/>
        </w:rPr>
        <w:t>PEOU</w:t>
      </w:r>
      <w:r>
        <w:rPr>
          <w:sz w:val="24"/>
        </w:rPr>
        <w:t>)</w:t>
      </w:r>
      <w:r>
        <w:rPr>
          <w:sz w:val="24"/>
        </w:rPr>
        <w:t>，反映一个人认为容易使用一个具体系统的程度。</w:t>
      </w:r>
    </w:p>
    <w:p w:rsidR="007A0453" w:rsidRDefault="007A0453">
      <w:pPr>
        <w:ind w:firstLine="560"/>
        <w:rPr>
          <w:sz w:val="28"/>
          <w:szCs w:val="28"/>
        </w:rPr>
      </w:pPr>
      <w:r w:rsidRPr="007A0453">
        <w:rPr>
          <w:noProof/>
        </w:rPr>
      </w:r>
      <w:r w:rsidRPr="007A0453">
        <w:rPr>
          <w:noProof/>
        </w:rPr>
        <w:pict>
          <v:group id="_x0000_s1063" style="width:425.3pt;height:142.15pt;mso-position-horizontal-relative:char;mso-position-vertical-relative:line" coordsize="8506,2843">
            <v:rect id="" o:spid="_x0000_s1026" style="position:absolute;width:8506;height:2843" filled="f" strokecolor="#5b9bd5" strokeweight=".5pt"/>
            <v:rect id="矩形 3" o:spid="_x0000_s1027" style="position:absolute;top:1407;width:1185;height:495;v-text-anchor:middle" strokeweight="1pt">
              <v:fill color2="black" angle="90"/>
              <v:textbox>
                <w:txbxContent>
                  <w:p w:rsidR="007A0453" w:rsidRDefault="004E3E9B">
                    <w:pPr>
                      <w:jc w:val="center"/>
                      <w:rPr>
                        <w:sz w:val="18"/>
                        <w:szCs w:val="18"/>
                      </w:rPr>
                    </w:pPr>
                    <w:r>
                      <w:rPr>
                        <w:sz w:val="18"/>
                        <w:szCs w:val="18"/>
                      </w:rPr>
                      <w:t>外部变量</w:t>
                    </w:r>
                  </w:p>
                </w:txbxContent>
              </v:textbox>
            </v:rect>
            <v:rect id="矩形 19" o:spid="_x0000_s1028" style="position:absolute;left:1546;top:417;width:945;height:765;v-text-anchor:middle" strokeweight="1pt">
              <v:fill color2="black" angle="90"/>
              <v:textbox>
                <w:txbxContent>
                  <w:p w:rsidR="007A0453" w:rsidRDefault="004E3E9B">
                    <w:pPr>
                      <w:jc w:val="center"/>
                      <w:rPr>
                        <w:sz w:val="18"/>
                        <w:szCs w:val="18"/>
                      </w:rPr>
                    </w:pPr>
                    <w:r>
                      <w:rPr>
                        <w:sz w:val="18"/>
                        <w:szCs w:val="18"/>
                      </w:rPr>
                      <w:t>感知的有用性</w:t>
                    </w:r>
                  </w:p>
                </w:txbxContent>
              </v:textbox>
            </v:rect>
            <v:rect id="矩形 20" o:spid="_x0000_s1029" style="position:absolute;left:1588;top:2093;width:945;height:750;v-text-anchor:middle" strokeweight="1pt">
              <v:fill color2="black" angle="90"/>
              <v:textbox>
                <w:txbxContent>
                  <w:p w:rsidR="007A0453" w:rsidRDefault="004E3E9B">
                    <w:pPr>
                      <w:jc w:val="center"/>
                      <w:rPr>
                        <w:sz w:val="18"/>
                        <w:szCs w:val="18"/>
                      </w:rPr>
                    </w:pPr>
                    <w:r>
                      <w:rPr>
                        <w:sz w:val="18"/>
                        <w:szCs w:val="18"/>
                      </w:rPr>
                      <w:t>感知的易用性</w:t>
                    </w:r>
                  </w:p>
                </w:txbxContent>
              </v:textbox>
            </v:rect>
            <v:rect id="矩形 21" o:spid="_x0000_s1030" style="position:absolute;left:3001;top:1392;width:1379;height:510;v-text-anchor:middle" strokeweight="1pt">
              <v:fill color2="black" angle="90"/>
              <v:textbox>
                <w:txbxContent>
                  <w:p w:rsidR="007A0453" w:rsidRDefault="004E3E9B">
                    <w:pPr>
                      <w:jc w:val="center"/>
                      <w:rPr>
                        <w:sz w:val="18"/>
                        <w:szCs w:val="18"/>
                      </w:rPr>
                    </w:pPr>
                    <w:r>
                      <w:rPr>
                        <w:sz w:val="18"/>
                        <w:szCs w:val="18"/>
                      </w:rPr>
                      <w:t>使用的态度</w:t>
                    </w:r>
                  </w:p>
                </w:txbxContent>
              </v:textbox>
            </v:rect>
            <v:rect id="矩形 24" o:spid="_x0000_s1031" style="position:absolute;left:6580;top:1378;width:1157;height:510;v-text-anchor:middle" strokeweight="1pt">
              <v:fill color2="black" angle="90"/>
              <v:textbox>
                <w:txbxContent>
                  <w:p w:rsidR="007A0453" w:rsidRDefault="004E3E9B">
                    <w:pPr>
                      <w:jc w:val="center"/>
                    </w:pPr>
                    <w:r>
                      <w:rPr>
                        <w:sz w:val="18"/>
                        <w:szCs w:val="18"/>
                      </w:rPr>
                      <w:t>系统使用</w:t>
                    </w:r>
                  </w:p>
                </w:txbxContent>
              </v:textbox>
            </v:rect>
            <v:rect id="矩形 25" o:spid="_x0000_s1032" style="position:absolute;left:4768;top:1393;width:1367;height:510;v-text-anchor:middle" strokeweight="1pt">
              <v:fill color2="black" angle="90"/>
              <v:textbox>
                <w:txbxContent>
                  <w:p w:rsidR="007A0453" w:rsidRDefault="004E3E9B">
                    <w:pPr>
                      <w:jc w:val="center"/>
                    </w:pPr>
                    <w:r>
                      <w:rPr>
                        <w:sz w:val="18"/>
                        <w:szCs w:val="18"/>
                      </w:rPr>
                      <w:t>使用的动机</w:t>
                    </w:r>
                  </w:p>
                </w:txbxContent>
              </v:textbox>
            </v:rect>
            <v:shapetype id="_x0000_t32" coordsize="21600,21600" o:spt="32" o:oned="t" path="m,l21600,21600e" filled="f">
              <v:path arrowok="t" fillok="f" o:connecttype="none"/>
              <o:lock v:ext="edit" shapetype="t"/>
            </v:shapetype>
            <v:shape id="直接箭头连接符 26" o:spid="_x0000_s1033" type="#_x0000_t32" style="position:absolute;left:1216;top:800;width:330;height:855;rotation:360;flip:y" o:connectortype="straight" adj="16200,16200,16200" strokeweight="0">
              <v:stroke endarrow="open"/>
            </v:shape>
            <v:shape id="直接箭头连接符 27" o:spid="_x0000_s1034" type="#_x0000_t32" style="position:absolute;left:1231;top:1655;width:342;height:833" o:connectortype="straight" adj="16200,16200,16200" strokeweight="0">
              <v:stroke endarrow="open"/>
            </v:shape>
            <v:shape id="直接箭头连接符 28" o:spid="_x0000_s1035" type="#_x0000_t32" style="position:absolute;left:2034;top:1182;width:12;height:931" o:connectortype="straight" adj="16200,16200,16200" strokeweight="0">
              <v:stroke endarrow="open"/>
            </v:shape>
            <v:shape id="直接箭头连接符 29" o:spid="_x0000_s1036" type="#_x0000_t32" style="position:absolute;left:2548;top:1647;width:453;height:841;rotation:360;flip:y" o:connectortype="straight" adj="16200,16200,16200" strokeweight="0">
              <v:stroke endarrow="open"/>
            </v:shape>
            <v:shape id="直接箭头连接符 30" o:spid="_x0000_s1037" type="#_x0000_t32" style="position:absolute;left:2521;top:800;width:465;height:847" o:connectortype="straight" adj="16200,16200,16200" strokeweight="0">
              <v:stroke endarrow="open"/>
            </v:shape>
            <v:shape id="直接箭头连接符 62" o:spid="_x0000_s1038" type="#_x0000_t32" style="position:absolute;left:4380;top:1647;width:388;height:1" o:connectortype="straight" adj="16200,16200,16200" strokeweight="0">
              <v:stroke endarrow="open"/>
            </v:shape>
            <v:shape id="直接箭头连接符 63" o:spid="_x0000_s1039" type="#_x0000_t32" style="position:absolute;left:6135;top:1633;width:445;height:15;rotation:360;flip:y" o:connectortype="straight" adj="16200,16200,16200" strokeweight="0">
              <v:stroke endarrow="open"/>
            </v:shape>
            <w10:wrap type="none"/>
            <w10:anchorlock/>
          </v:group>
        </w:pict>
      </w:r>
    </w:p>
    <w:p w:rsidR="007A0453" w:rsidRDefault="004E3E9B">
      <w:pPr>
        <w:spacing w:line="400" w:lineRule="exact"/>
        <w:ind w:firstLine="420"/>
        <w:jc w:val="center"/>
        <w:rPr>
          <w:b/>
          <w:sz w:val="18"/>
          <w:szCs w:val="18"/>
        </w:rPr>
      </w:pPr>
      <w:r>
        <w:rPr>
          <w:b/>
          <w:sz w:val="18"/>
          <w:szCs w:val="18"/>
        </w:rPr>
        <w:t>图</w:t>
      </w:r>
      <w:r>
        <w:rPr>
          <w:rFonts w:ascii="Times New Roman" w:hAnsi="Times New Roman"/>
          <w:b/>
          <w:sz w:val="18"/>
          <w:szCs w:val="18"/>
        </w:rPr>
        <w:t>1 TAM</w:t>
      </w:r>
      <w:r>
        <w:rPr>
          <w:b/>
          <w:sz w:val="18"/>
          <w:szCs w:val="18"/>
        </w:rPr>
        <w:t>模型</w:t>
      </w:r>
    </w:p>
    <w:p w:rsidR="007A0453" w:rsidRDefault="004E3E9B">
      <w:pPr>
        <w:spacing w:line="400" w:lineRule="exact"/>
        <w:ind w:firstLine="480"/>
        <w:rPr>
          <w:sz w:val="24"/>
        </w:rPr>
      </w:pPr>
      <w:r>
        <w:rPr>
          <w:sz w:val="24"/>
        </w:rPr>
        <w:t>技术接受模型认为外部变量决定感知易用性和感知有用性，同时感知易用性又</w:t>
      </w:r>
      <w:r>
        <w:rPr>
          <w:sz w:val="24"/>
        </w:rPr>
        <w:lastRenderedPageBreak/>
        <w:t>决定感知有用性，感知有用性和感知易用性共同决定使用的态度，使用的态度决定使用的动机，最终决定是否使用该系统。</w:t>
      </w:r>
    </w:p>
    <w:p w:rsidR="007A0453" w:rsidRDefault="004E3E9B">
      <w:pPr>
        <w:spacing w:before="157" w:after="157" w:line="360" w:lineRule="auto"/>
        <w:rPr>
          <w:rFonts w:ascii="Calibri Light" w:eastAsia="Calibri Light" w:hAnsi="Calibri Light"/>
          <w:b/>
          <w:bCs/>
          <w:szCs w:val="21"/>
        </w:rPr>
      </w:pPr>
      <w:r>
        <w:rPr>
          <w:rFonts w:ascii="Calibri Light" w:eastAsia="Calibri Light" w:hAnsi="Calibri Light" w:hint="eastAsia"/>
          <w:b/>
          <w:bCs/>
          <w:szCs w:val="21"/>
        </w:rPr>
        <w:t>（二）</w:t>
      </w:r>
      <w:r>
        <w:rPr>
          <w:rFonts w:ascii="Calibri Light" w:eastAsia="Calibri Light" w:hAnsi="Calibri Light" w:hint="eastAsia"/>
          <w:b/>
          <w:bCs/>
          <w:szCs w:val="21"/>
        </w:rPr>
        <w:t xml:space="preserve"> </w:t>
      </w:r>
      <w:r>
        <w:rPr>
          <w:rFonts w:ascii="Calibri Light" w:eastAsia="Calibri Light" w:hAnsi="Calibri Light" w:hint="eastAsia"/>
          <w:b/>
          <w:bCs/>
          <w:szCs w:val="21"/>
        </w:rPr>
        <w:t>农村电子商务用户接受度模型</w:t>
      </w:r>
    </w:p>
    <w:p w:rsidR="007A0453" w:rsidRDefault="004E3E9B">
      <w:pPr>
        <w:spacing w:line="400" w:lineRule="exact"/>
        <w:ind w:firstLine="420"/>
        <w:rPr>
          <w:sz w:val="24"/>
        </w:rPr>
      </w:pPr>
      <w:r>
        <w:rPr>
          <w:sz w:val="24"/>
        </w:rPr>
        <w:t>技术接受模型是一个开放性模型，可以根据实际情况进行适当调整。农村用户对于电子商务的接受程度受到政治、经济、社会、环境等多方面的影响，因此本文在</w:t>
      </w:r>
      <w:r>
        <w:rPr>
          <w:rFonts w:ascii="Times New Roman" w:hAnsi="Times New Roman"/>
          <w:sz w:val="24"/>
        </w:rPr>
        <w:t>TAM</w:t>
      </w:r>
      <w:r>
        <w:rPr>
          <w:sz w:val="24"/>
        </w:rPr>
        <w:t>理论的基础上进行拓展，选取主要的外部变量如：个人差异、电商信任程度、社会影响、便利条件、技术复杂性，以弥补技术接受模型在研究本问题中的不足，增强其准确性。农村电子商务用户接受模型如下：</w:t>
      </w:r>
    </w:p>
    <w:p w:rsidR="007A0453" w:rsidRDefault="007A0453">
      <w:pPr>
        <w:spacing w:line="400" w:lineRule="exact"/>
        <w:ind w:firstLine="420"/>
        <w:jc w:val="center"/>
      </w:pPr>
    </w:p>
    <w:p w:rsidR="007A0453" w:rsidRDefault="007A0453">
      <w:pPr>
        <w:spacing w:line="400" w:lineRule="exact"/>
        <w:ind w:firstLine="420"/>
        <w:jc w:val="center"/>
      </w:pPr>
    </w:p>
    <w:p w:rsidR="007A0453" w:rsidRDefault="007A0453">
      <w:pPr>
        <w:spacing w:line="400" w:lineRule="exact"/>
        <w:ind w:firstLine="420"/>
        <w:jc w:val="center"/>
        <w:rPr>
          <w:szCs w:val="21"/>
        </w:rPr>
      </w:pPr>
    </w:p>
    <w:p w:rsidR="007A0453" w:rsidRDefault="007A0453">
      <w:pPr>
        <w:spacing w:line="400" w:lineRule="exact"/>
        <w:ind w:firstLine="420"/>
        <w:jc w:val="center"/>
        <w:rPr>
          <w:szCs w:val="21"/>
        </w:rPr>
      </w:pPr>
    </w:p>
    <w:p w:rsidR="007A0453" w:rsidRDefault="007A0453">
      <w:pPr>
        <w:spacing w:line="400" w:lineRule="exact"/>
        <w:ind w:firstLine="420"/>
        <w:jc w:val="center"/>
        <w:rPr>
          <w:szCs w:val="21"/>
        </w:rPr>
      </w:pPr>
    </w:p>
    <w:p w:rsidR="007A0453" w:rsidRDefault="007A0453">
      <w:pPr>
        <w:spacing w:line="400" w:lineRule="exact"/>
        <w:ind w:firstLine="420"/>
        <w:jc w:val="center"/>
        <w:rPr>
          <w:szCs w:val="21"/>
        </w:rPr>
      </w:pPr>
    </w:p>
    <w:p w:rsidR="007A0453" w:rsidRDefault="007A0453">
      <w:pPr>
        <w:spacing w:line="400" w:lineRule="exact"/>
        <w:ind w:firstLine="420"/>
        <w:jc w:val="center"/>
        <w:rPr>
          <w:szCs w:val="21"/>
        </w:rPr>
      </w:pPr>
    </w:p>
    <w:p w:rsidR="007A0453" w:rsidRDefault="007A0453">
      <w:pPr>
        <w:spacing w:line="400" w:lineRule="exact"/>
        <w:ind w:firstLine="420"/>
        <w:jc w:val="center"/>
        <w:rPr>
          <w:szCs w:val="21"/>
        </w:rPr>
      </w:pPr>
    </w:p>
    <w:p w:rsidR="007A0453" w:rsidRDefault="007A0453">
      <w:pPr>
        <w:spacing w:line="400" w:lineRule="exact"/>
        <w:ind w:firstLine="420"/>
        <w:jc w:val="center"/>
        <w:rPr>
          <w:szCs w:val="21"/>
        </w:rPr>
      </w:pPr>
    </w:p>
    <w:p w:rsidR="007A0453" w:rsidRDefault="007A0453">
      <w:pPr>
        <w:spacing w:line="400" w:lineRule="exact"/>
        <w:ind w:firstLine="420"/>
        <w:jc w:val="center"/>
        <w:rPr>
          <w:szCs w:val="21"/>
        </w:rPr>
      </w:pPr>
      <w:r w:rsidRPr="007A0453">
        <w:rPr>
          <w:noProof/>
        </w:rPr>
      </w:r>
      <w:r w:rsidRPr="007A0453">
        <w:rPr>
          <w:noProof/>
        </w:rPr>
        <w:pict>
          <v:group id="_x0000_s1062" style="width:393pt;height:188.25pt;mso-position-horizontal-relative:char;mso-position-vertical-relative:line" coordsize="7860,3765">
            <v:rect id="" o:spid="_x0000_s1040" style="position:absolute;width:7860;height:3765" filled="f" strokeweight=".5pt"/>
            <v:rect id="矩形 74" o:spid="_x0000_s1041" style="position:absolute;top:2413;width:1425;height:435;v-text-anchor:middle" strokeweight="1pt">
              <v:fill color2="black" angle="90"/>
              <v:textbox>
                <w:txbxContent>
                  <w:p w:rsidR="007A0453" w:rsidRDefault="004E3E9B">
                    <w:pPr>
                      <w:jc w:val="center"/>
                      <w:rPr>
                        <w:sz w:val="18"/>
                        <w:szCs w:val="18"/>
                      </w:rPr>
                    </w:pPr>
                    <w:r>
                      <w:rPr>
                        <w:sz w:val="18"/>
                        <w:szCs w:val="18"/>
                      </w:rPr>
                      <w:t>便利条件</w:t>
                    </w:r>
                  </w:p>
                </w:txbxContent>
              </v:textbox>
            </v:rect>
            <v:rect id="矩形 75" o:spid="_x0000_s1042" style="position:absolute;top:223;width:1425;height:435;v-text-anchor:middle" strokeweight="1pt">
              <v:fill color2="black" angle="90"/>
              <v:textbox>
                <w:txbxContent>
                  <w:p w:rsidR="007A0453" w:rsidRDefault="004E3E9B">
                    <w:pPr>
                      <w:jc w:val="center"/>
                      <w:rPr>
                        <w:sz w:val="18"/>
                        <w:szCs w:val="18"/>
                      </w:rPr>
                    </w:pPr>
                    <w:r>
                      <w:rPr>
                        <w:sz w:val="18"/>
                        <w:szCs w:val="18"/>
                      </w:rPr>
                      <w:t>电商信任程度</w:t>
                    </w:r>
                  </w:p>
                  <w:p w:rsidR="007A0453" w:rsidRDefault="007A0453">
                    <w:pPr>
                      <w:jc w:val="center"/>
                      <w:rPr>
                        <w:sz w:val="18"/>
                        <w:szCs w:val="18"/>
                      </w:rPr>
                    </w:pPr>
                  </w:p>
                </w:txbxContent>
              </v:textbox>
            </v:rect>
            <v:rect id="矩形 76" o:spid="_x0000_s1043" style="position:absolute;top:958;width:1425;height:435;v-text-anchor:middle" strokeweight="1pt">
              <v:fill color2="black" angle="90"/>
              <v:textbox>
                <w:txbxContent>
                  <w:p w:rsidR="007A0453" w:rsidRDefault="004E3E9B">
                    <w:pPr>
                      <w:jc w:val="center"/>
                      <w:rPr>
                        <w:sz w:val="18"/>
                        <w:szCs w:val="18"/>
                      </w:rPr>
                    </w:pPr>
                    <w:r>
                      <w:rPr>
                        <w:sz w:val="18"/>
                        <w:szCs w:val="18"/>
                      </w:rPr>
                      <w:t>个人差异</w:t>
                    </w:r>
                  </w:p>
                </w:txbxContent>
              </v:textbox>
            </v:rect>
            <v:rect id="矩形 77" o:spid="_x0000_s1044" style="position:absolute;top:1708;width:1425;height:435;v-text-anchor:middle" strokeweight="1pt">
              <v:fill color2="black" angle="90"/>
              <v:textbox>
                <w:txbxContent>
                  <w:p w:rsidR="007A0453" w:rsidRDefault="004E3E9B">
                    <w:pPr>
                      <w:jc w:val="center"/>
                      <w:rPr>
                        <w:sz w:val="18"/>
                        <w:szCs w:val="18"/>
                      </w:rPr>
                    </w:pPr>
                    <w:r>
                      <w:rPr>
                        <w:sz w:val="18"/>
                        <w:szCs w:val="18"/>
                      </w:rPr>
                      <w:t>社会影响</w:t>
                    </w:r>
                  </w:p>
                </w:txbxContent>
              </v:textbox>
            </v:rect>
            <v:rect id="矩形 78" o:spid="_x0000_s1045" style="position:absolute;top:3133;width:1425;height:435;v-text-anchor:middle" strokeweight="1pt">
              <v:fill color2="black" angle="90"/>
              <v:textbox>
                <w:txbxContent>
                  <w:p w:rsidR="007A0453" w:rsidRDefault="004E3E9B">
                    <w:pPr>
                      <w:jc w:val="center"/>
                      <w:rPr>
                        <w:sz w:val="18"/>
                        <w:szCs w:val="18"/>
                      </w:rPr>
                    </w:pPr>
                    <w:r>
                      <w:rPr>
                        <w:sz w:val="18"/>
                        <w:szCs w:val="18"/>
                      </w:rPr>
                      <w:t>技术复杂性</w:t>
                    </w:r>
                  </w:p>
                </w:txbxContent>
              </v:textbox>
            </v:rect>
            <v:rect id="矩形 79" o:spid="_x0000_s1046" style="position:absolute;left:6746;top:1738;width:1081;height:435;v-text-anchor:middle" strokeweight="1pt">
              <v:fill color2="black" angle="90"/>
              <v:textbox>
                <w:txbxContent>
                  <w:p w:rsidR="007A0453" w:rsidRDefault="004E3E9B">
                    <w:pPr>
                      <w:jc w:val="center"/>
                      <w:rPr>
                        <w:sz w:val="18"/>
                        <w:szCs w:val="18"/>
                      </w:rPr>
                    </w:pPr>
                    <w:r>
                      <w:rPr>
                        <w:sz w:val="18"/>
                        <w:szCs w:val="18"/>
                      </w:rPr>
                      <w:t>系统使用</w:t>
                    </w:r>
                  </w:p>
                </w:txbxContent>
              </v:textbox>
            </v:rect>
            <v:rect id="矩形 80" o:spid="_x0000_s1047" style="position:absolute;left:5203;top:1738;width:1215;height:435;v-text-anchor:middle" strokeweight="1pt">
              <v:fill color2="black" angle="90"/>
              <v:textbox>
                <w:txbxContent>
                  <w:p w:rsidR="007A0453" w:rsidRDefault="004E3E9B">
                    <w:pPr>
                      <w:jc w:val="center"/>
                      <w:rPr>
                        <w:sz w:val="18"/>
                        <w:szCs w:val="18"/>
                      </w:rPr>
                    </w:pPr>
                    <w:r>
                      <w:rPr>
                        <w:sz w:val="18"/>
                        <w:szCs w:val="18"/>
                      </w:rPr>
                      <w:t>使用的动机</w:t>
                    </w:r>
                  </w:p>
                </w:txbxContent>
              </v:textbox>
            </v:rect>
            <v:rect id="矩形 81" o:spid="_x0000_s1048" style="position:absolute;left:3658;top:1738;width:1245;height:435;v-text-anchor:middle" strokeweight="1pt">
              <v:fill color2="black" angle="90"/>
              <v:textbox>
                <w:txbxContent>
                  <w:p w:rsidR="007A0453" w:rsidRDefault="004E3E9B">
                    <w:pPr>
                      <w:jc w:val="center"/>
                      <w:rPr>
                        <w:sz w:val="18"/>
                        <w:szCs w:val="18"/>
                      </w:rPr>
                    </w:pPr>
                    <w:r>
                      <w:rPr>
                        <w:sz w:val="18"/>
                        <w:szCs w:val="18"/>
                      </w:rPr>
                      <w:t>使用的态度</w:t>
                    </w:r>
                  </w:p>
                </w:txbxContent>
              </v:textbox>
            </v:rect>
            <v:rect id="矩形 82" o:spid="_x0000_s1049" style="position:absolute;left:2008;top:1256;width:1395;height:435;v-text-anchor:middle" strokeweight="1pt">
              <v:fill color2="black" angle="90"/>
              <v:textbox>
                <w:txbxContent>
                  <w:p w:rsidR="007A0453" w:rsidRDefault="004E3E9B">
                    <w:pPr>
                      <w:jc w:val="center"/>
                      <w:rPr>
                        <w:sz w:val="18"/>
                        <w:szCs w:val="18"/>
                      </w:rPr>
                    </w:pPr>
                    <w:r>
                      <w:rPr>
                        <w:sz w:val="18"/>
                        <w:szCs w:val="18"/>
                      </w:rPr>
                      <w:t>感知的有用性</w:t>
                    </w:r>
                  </w:p>
                </w:txbxContent>
              </v:textbox>
            </v:rect>
            <v:shape id="直接箭头连接符 89" o:spid="_x0000_s1050" type="#_x0000_t32" style="position:absolute;left:4903;top:1956;width:300;height:0" o:connectortype="straight" adj="16200,16200,16200" strokecolor="#0c0c0c" strokeweight="0">
              <v:stroke endarrow="open"/>
            </v:shape>
            <v:shape id="直接箭头连接符 90" o:spid="_x0000_s1051" type="#_x0000_t32" style="position:absolute;left:6418;top:1956;width:328;height:0" o:connectortype="straight" adj="16200,16200,16200" strokecolor="#0c0c0c" strokeweight="0">
              <v:stroke endarrow="open"/>
            </v:shape>
            <v:rect id="矩形 33" o:spid="_x0000_s1052" style="position:absolute;left:2008;top:2201;width:1395;height:435;v-text-anchor:middle" strokeweight="1pt">
              <v:fill color2="black" angle="90"/>
              <v:textbox>
                <w:txbxContent>
                  <w:p w:rsidR="007A0453" w:rsidRDefault="004E3E9B">
                    <w:pPr>
                      <w:pStyle w:val="a3"/>
                      <w:spacing w:before="0" w:beforeAutospacing="0" w:after="0" w:afterAutospacing="0"/>
                      <w:jc w:val="center"/>
                    </w:pPr>
                    <w:r>
                      <w:rPr>
                        <w:rFonts w:cs="Times New Roman" w:hint="eastAsia"/>
                        <w:sz w:val="18"/>
                        <w:szCs w:val="18"/>
                      </w:rPr>
                      <w:t>感知的易用性</w:t>
                    </w:r>
                  </w:p>
                </w:txbxContent>
              </v:textbox>
            </v:rect>
            <v:shape id="直接箭头连接符 1" o:spid="_x0000_s1053" type="#_x0000_t32" style="position:absolute;left:1425;top:441;width:583;height:1104" o:connectortype="straight" adj="16200,16200,16200" strokeweight="0">
              <v:stroke endarrow="open"/>
            </v:shape>
            <v:shape id="直接箭头连接符 3" o:spid="_x0000_s1054" type="#_x0000_t32" style="position:absolute;left:1425;top:1176;width:583;height:369" o:connectortype="straight" adj="16200,16200,16200" strokeweight="0">
              <v:stroke endarrow="open"/>
            </v:shape>
            <v:shape id="直接箭头连接符 4" o:spid="_x0000_s1055" type="#_x0000_t32" style="position:absolute;left:1425;top:1545;width:583;height:381;rotation:360;flip:y" o:connectortype="straight" adj="16200,16200,16200" strokeweight="0">
              <v:stroke endarrow="open"/>
            </v:shape>
            <v:shape id="直接箭头连接符 5" o:spid="_x0000_s1056" type="#_x0000_t32" style="position:absolute;left:1425;top:1545;width:583;height:1086;rotation:360;flip:y" o:connectortype="straight" adj="16200,16200,16200" strokeweight="0">
              <v:stroke endarrow="open"/>
            </v:shape>
            <v:shape id="直接箭头连接符 6" o:spid="_x0000_s1057" type="#_x0000_t32" style="position:absolute;left:1425;top:1545;width:583;height:1806;rotation:360;flip:y" o:connectortype="straight" adj="16200,16200,16200" strokeweight="0">
              <v:stroke endarrow="open"/>
            </v:shape>
            <v:shape id="直接箭头连接符 8" o:spid="_x0000_s1058" type="#_x0000_t32" style="position:absolute;left:1425;top:441;width:583;height:1978" o:connectortype="straight" adj="16200,16200,16200" strokeweight="0">
              <v:stroke endarrow="open"/>
            </v:shape>
            <v:shape id="直接箭头连接符 9" o:spid="_x0000_s1059" type="#_x0000_t32" style="position:absolute;left:1425;top:2419;width:583;height:212;rotation:360;flip:y" o:connectortype="straight" adj="16200,16200,16200" strokeweight="0">
              <v:stroke endarrow="open"/>
            </v:shape>
            <v:shape id="直接箭头连接符 10" o:spid="_x0000_s1060" type="#_x0000_t32" style="position:absolute;left:3403;top:1474;width:255;height:482" o:connectortype="straight" adj="16200,16200,16200" strokeweight="0">
              <v:stroke endarrow="open"/>
            </v:shape>
            <v:shape id="直接箭头连接符 12" o:spid="_x0000_s1061" type="#_x0000_t32" style="position:absolute;left:3403;top:1956;width:240;height:457;rotation:360;flip:y" o:connectortype="straight" adj="16200,16200,16200" strokeweight="0">
              <v:stroke endarrow="open"/>
            </v:shape>
            <w10:wrap type="none"/>
            <w10:anchorlock/>
          </v:group>
        </w:pict>
      </w:r>
    </w:p>
    <w:p w:rsidR="007A0453" w:rsidRDefault="004E3E9B">
      <w:pPr>
        <w:spacing w:line="400" w:lineRule="exact"/>
        <w:jc w:val="center"/>
        <w:rPr>
          <w:b/>
          <w:bCs/>
          <w:sz w:val="18"/>
          <w:szCs w:val="18"/>
        </w:rPr>
      </w:pPr>
      <w:r>
        <w:rPr>
          <w:b/>
          <w:bCs/>
          <w:sz w:val="18"/>
          <w:szCs w:val="18"/>
        </w:rPr>
        <w:t>图</w:t>
      </w:r>
      <w:r>
        <w:rPr>
          <w:rFonts w:ascii="Times New Roman" w:hAnsi="Times New Roman"/>
          <w:b/>
          <w:bCs/>
          <w:sz w:val="18"/>
          <w:szCs w:val="18"/>
        </w:rPr>
        <w:t>2</w:t>
      </w:r>
      <w:r>
        <w:rPr>
          <w:b/>
          <w:bCs/>
          <w:sz w:val="18"/>
          <w:szCs w:val="18"/>
        </w:rPr>
        <w:t xml:space="preserve"> </w:t>
      </w:r>
      <w:r>
        <w:rPr>
          <w:b/>
          <w:bCs/>
          <w:sz w:val="18"/>
          <w:szCs w:val="18"/>
        </w:rPr>
        <w:t>农村电子商务用户接受模型</w:t>
      </w:r>
    </w:p>
    <w:p w:rsidR="007A0453" w:rsidRDefault="004E3E9B">
      <w:pPr>
        <w:widowControl/>
        <w:spacing w:line="400" w:lineRule="exact"/>
        <w:ind w:firstLine="480"/>
        <w:jc w:val="left"/>
        <w:rPr>
          <w:rFonts w:ascii="宋体" w:eastAsia="宋体" w:hAnsi="宋体" w:cs="宋体"/>
          <w:sz w:val="24"/>
        </w:rPr>
      </w:pPr>
      <w:r>
        <w:rPr>
          <w:rFonts w:ascii="宋体" w:eastAsia="宋体" w:hAnsi="宋体" w:cs="宋体"/>
          <w:sz w:val="24"/>
        </w:rPr>
        <w:t>其中，在消费者熟悉影响网上商店接受模型的结构中</w:t>
      </w:r>
      <w:r>
        <w:rPr>
          <w:rFonts w:ascii="宋体" w:eastAsia="宋体" w:hAnsi="宋体" w:cs="宋体" w:hint="eastAsia"/>
          <w:sz w:val="24"/>
        </w:rPr>
        <w:t>，</w:t>
      </w:r>
      <w:r>
        <w:rPr>
          <w:rFonts w:ascii="宋体" w:eastAsia="宋体" w:hAnsi="宋体" w:cs="宋体"/>
          <w:sz w:val="24"/>
        </w:rPr>
        <w:t>电商信任程度作为重要变量纳入模型中，证实了电商信任程度可以作为影响用户对电子商务接受的外部变量；</w:t>
      </w:r>
      <w:r>
        <w:rPr>
          <w:rFonts w:ascii="Times New Roman" w:eastAsia="宋体" w:hAnsi="Times New Roman"/>
          <w:sz w:val="24"/>
        </w:rPr>
        <w:t>Lu</w:t>
      </w:r>
      <w:r>
        <w:rPr>
          <w:rFonts w:ascii="宋体" w:eastAsia="宋体" w:hAnsi="宋体" w:cs="宋体"/>
          <w:sz w:val="24"/>
        </w:rPr>
        <w:t>与</w:t>
      </w:r>
      <w:r>
        <w:rPr>
          <w:rFonts w:ascii="Times New Roman" w:eastAsia="宋体" w:hAnsi="Times New Roman"/>
          <w:sz w:val="24"/>
        </w:rPr>
        <w:t>Yu</w:t>
      </w:r>
      <w:r>
        <w:rPr>
          <w:rFonts w:ascii="宋体" w:eastAsia="宋体" w:hAnsi="宋体" w:cs="宋体"/>
          <w:sz w:val="24"/>
        </w:rPr>
        <w:t>将技术复杂性作为重要因素纳入模型中，说明了技术复杂性对用户对电子商务接受度的影响；认识具有社会属性的，个体的思想、态度和行为往往受到其他个体或群体的影响，</w:t>
      </w:r>
      <w:r>
        <w:rPr>
          <w:rFonts w:ascii="Times New Roman" w:eastAsia="宋体" w:hAnsi="Times New Roman"/>
          <w:sz w:val="24"/>
        </w:rPr>
        <w:t>Kleiijnen</w:t>
      </w:r>
      <w:r>
        <w:rPr>
          <w:rFonts w:ascii="宋体" w:eastAsia="宋体" w:hAnsi="宋体" w:cs="宋体"/>
          <w:sz w:val="24"/>
        </w:rPr>
        <w:t>在无线金融的消费者接受模型证明了社会影响是影响电商接受度的因素</w:t>
      </w:r>
      <w:r>
        <w:rPr>
          <w:rFonts w:ascii="宋体" w:eastAsia="宋体" w:hAnsi="宋体" w:cs="宋体" w:hint="eastAsia"/>
          <w:sz w:val="24"/>
          <w:vertAlign w:val="superscript"/>
        </w:rPr>
        <w:t>[6-7]</w:t>
      </w:r>
      <w:r>
        <w:rPr>
          <w:rFonts w:ascii="宋体" w:eastAsia="宋体" w:hAnsi="宋体" w:cs="宋体"/>
          <w:sz w:val="24"/>
        </w:rPr>
        <w:t>，所以本文将社会影响作为重要的外部变量；</w:t>
      </w:r>
      <w:r>
        <w:rPr>
          <w:rFonts w:ascii="Times New Roman" w:eastAsia="宋体" w:hAnsi="Times New Roman"/>
          <w:sz w:val="24"/>
        </w:rPr>
        <w:t>Hung</w:t>
      </w:r>
      <w:r>
        <w:rPr>
          <w:rFonts w:ascii="宋体" w:eastAsia="宋体" w:hAnsi="宋体" w:cs="宋体"/>
          <w:sz w:val="24"/>
        </w:rPr>
        <w:t>在对</w:t>
      </w:r>
      <w:r>
        <w:rPr>
          <w:rFonts w:ascii="Times New Roman" w:eastAsia="宋体" w:hAnsi="Times New Roman"/>
          <w:sz w:val="24"/>
        </w:rPr>
        <w:t>WAP</w:t>
      </w:r>
      <w:r>
        <w:rPr>
          <w:rFonts w:ascii="宋体" w:eastAsia="宋体" w:hAnsi="宋体" w:cs="宋体"/>
          <w:sz w:val="24"/>
        </w:rPr>
        <w:t>服务进行研究时将便利条件作为影响变量</w:t>
      </w:r>
      <w:r>
        <w:rPr>
          <w:rFonts w:ascii="宋体" w:eastAsia="宋体" w:hAnsi="宋体" w:cs="宋体" w:hint="eastAsia"/>
          <w:sz w:val="24"/>
          <w:vertAlign w:val="superscript"/>
        </w:rPr>
        <w:t>[8-9]</w:t>
      </w:r>
      <w:r>
        <w:rPr>
          <w:rFonts w:ascii="宋体" w:eastAsia="宋体" w:hAnsi="宋体" w:cs="宋体"/>
          <w:sz w:val="24"/>
        </w:rPr>
        <w:t>，证实了便利条件是影响电商的重要外部变量</w:t>
      </w:r>
      <w:r>
        <w:rPr>
          <w:rFonts w:ascii="宋体" w:eastAsia="宋体" w:hAnsi="宋体" w:cs="宋体" w:hint="eastAsia"/>
          <w:sz w:val="24"/>
        </w:rPr>
        <w:t>；</w:t>
      </w:r>
      <w:r>
        <w:rPr>
          <w:rFonts w:ascii="Times New Roman" w:eastAsia="宋体" w:hAnsi="Times New Roman"/>
          <w:sz w:val="24"/>
        </w:rPr>
        <w:t>Lee</w:t>
      </w:r>
      <w:r>
        <w:rPr>
          <w:rFonts w:ascii="宋体" w:eastAsia="宋体" w:hAnsi="宋体" w:cs="宋体"/>
          <w:sz w:val="24"/>
        </w:rPr>
        <w:t>和</w:t>
      </w:r>
      <w:r>
        <w:rPr>
          <w:rFonts w:ascii="Times New Roman" w:eastAsia="宋体" w:hAnsi="Times New Roman"/>
          <w:sz w:val="24"/>
        </w:rPr>
        <w:t>Cheng</w:t>
      </w:r>
      <w:r>
        <w:rPr>
          <w:rFonts w:ascii="宋体" w:eastAsia="宋体" w:hAnsi="宋体" w:cs="宋体"/>
          <w:sz w:val="24"/>
        </w:rPr>
        <w:t>在关于</w:t>
      </w:r>
      <w:r>
        <w:rPr>
          <w:rFonts w:ascii="宋体" w:eastAsia="宋体" w:hAnsi="宋体" w:cs="宋体"/>
          <w:sz w:val="24"/>
        </w:rPr>
        <w:t>PDA</w:t>
      </w:r>
      <w:r>
        <w:rPr>
          <w:rFonts w:ascii="宋体" w:eastAsia="宋体" w:hAnsi="宋体" w:cs="宋体"/>
          <w:sz w:val="24"/>
        </w:rPr>
        <w:t>移动技术采纳的技术任务匹配模型的改进中将个人因素作为变量加入</w:t>
      </w:r>
      <w:r>
        <w:rPr>
          <w:rFonts w:ascii="宋体" w:eastAsia="宋体" w:hAnsi="宋体" w:cs="宋体" w:hint="eastAsia"/>
          <w:sz w:val="24"/>
          <w:vertAlign w:val="superscript"/>
        </w:rPr>
        <w:t>[10]</w:t>
      </w:r>
      <w:r>
        <w:rPr>
          <w:rFonts w:ascii="宋体" w:eastAsia="宋体" w:hAnsi="宋体" w:cs="宋体"/>
          <w:sz w:val="24"/>
        </w:rPr>
        <w:t>，证实了个人差异可以作为影响电商接受的的重要外部变量。</w:t>
      </w:r>
    </w:p>
    <w:p w:rsidR="007A0453" w:rsidRDefault="004E3E9B">
      <w:pPr>
        <w:tabs>
          <w:tab w:val="left" w:pos="869"/>
        </w:tabs>
        <w:spacing w:before="313" w:after="313" w:line="360" w:lineRule="auto"/>
        <w:rPr>
          <w:rFonts w:ascii="Calibri Light" w:eastAsia="Calibri Light" w:hAnsi="Calibri Light"/>
          <w:b/>
          <w:bCs/>
          <w:sz w:val="28"/>
          <w:szCs w:val="28"/>
        </w:rPr>
      </w:pPr>
      <w:r>
        <w:rPr>
          <w:rFonts w:ascii="Calibri Light" w:eastAsia="Calibri Light" w:hAnsi="Calibri Light" w:hint="eastAsia"/>
          <w:b/>
          <w:bCs/>
          <w:sz w:val="28"/>
          <w:szCs w:val="28"/>
        </w:rPr>
        <w:t>三</w:t>
      </w:r>
      <w:r>
        <w:rPr>
          <w:rFonts w:ascii="Calibri Light" w:eastAsia="Calibri Light" w:hAnsi="Calibri Light" w:hint="eastAsia"/>
          <w:b/>
          <w:bCs/>
          <w:sz w:val="28"/>
          <w:szCs w:val="28"/>
        </w:rPr>
        <w:t xml:space="preserve"> </w:t>
      </w:r>
      <w:r>
        <w:rPr>
          <w:rFonts w:ascii="Calibri Light" w:eastAsia="Calibri Light" w:hAnsi="Calibri Light" w:hint="eastAsia"/>
          <w:b/>
          <w:bCs/>
          <w:sz w:val="28"/>
          <w:szCs w:val="28"/>
        </w:rPr>
        <w:t>实证检验</w:t>
      </w:r>
    </w:p>
    <w:p w:rsidR="007A0453" w:rsidRDefault="004E3E9B">
      <w:pPr>
        <w:tabs>
          <w:tab w:val="left" w:pos="869"/>
        </w:tabs>
        <w:spacing w:line="400" w:lineRule="exact"/>
        <w:ind w:firstLine="480"/>
        <w:rPr>
          <w:bCs/>
          <w:sz w:val="24"/>
        </w:rPr>
      </w:pPr>
      <w:r>
        <w:rPr>
          <w:sz w:val="24"/>
        </w:rPr>
        <w:t>为了实证农村电子商务用户接受模型，以济南农村地区居民为对象进行问卷调</w:t>
      </w:r>
      <w:r>
        <w:rPr>
          <w:sz w:val="24"/>
        </w:rPr>
        <w:lastRenderedPageBreak/>
        <w:t>查，在济南市发放调查问卷</w:t>
      </w:r>
      <w:r>
        <w:rPr>
          <w:rFonts w:ascii="Times New Roman" w:hAnsi="Times New Roman"/>
          <w:sz w:val="24"/>
        </w:rPr>
        <w:t>300</w:t>
      </w:r>
      <w:r>
        <w:rPr>
          <w:sz w:val="24"/>
        </w:rPr>
        <w:t>份，其中回收有效调查问卷</w:t>
      </w:r>
      <w:r>
        <w:rPr>
          <w:rFonts w:ascii="Times New Roman" w:hAnsi="Times New Roman"/>
          <w:sz w:val="24"/>
        </w:rPr>
        <w:t>276</w:t>
      </w:r>
      <w:r>
        <w:rPr>
          <w:sz w:val="24"/>
        </w:rPr>
        <w:t>份。本问卷在理论分析、文献整理、参考已有相关调查问卷的基础上，经过初拟</w:t>
      </w:r>
      <w:r>
        <w:rPr>
          <w:sz w:val="24"/>
        </w:rPr>
        <w:t>、小范围试测、修改，最后形成最终的问卷。</w:t>
      </w:r>
      <w:r>
        <w:rPr>
          <w:rFonts w:ascii="Calibri Light" w:eastAsia="Calibri Light" w:hAnsi="Calibri Light" w:hint="eastAsia"/>
          <w:bCs/>
          <w:sz w:val="24"/>
        </w:rPr>
        <w:t>问卷采用</w:t>
      </w:r>
      <w:r>
        <w:rPr>
          <w:rFonts w:ascii="Times New Roman" w:eastAsia="Calibri Light" w:hAnsi="Times New Roman"/>
          <w:bCs/>
          <w:sz w:val="24"/>
        </w:rPr>
        <w:t>5</w:t>
      </w:r>
      <w:r>
        <w:rPr>
          <w:rFonts w:ascii="Calibri Light" w:eastAsia="Calibri Light" w:hAnsi="Calibri Light" w:hint="eastAsia"/>
          <w:bCs/>
          <w:sz w:val="24"/>
        </w:rPr>
        <w:t>级李克特量表法进行统计，要求被调查者根据自己对题干表述内容的同意程度进行选择，以期得到影响农村电子商务接受的各个因素的重要程度。</w:t>
      </w:r>
    </w:p>
    <w:p w:rsidR="007A0453" w:rsidRDefault="004E3E9B">
      <w:pPr>
        <w:tabs>
          <w:tab w:val="left" w:pos="869"/>
        </w:tabs>
        <w:spacing w:before="157" w:after="157" w:line="400" w:lineRule="exact"/>
        <w:rPr>
          <w:rFonts w:ascii="Calibri Light" w:eastAsia="Calibri Light" w:hAnsi="Calibri Light"/>
          <w:b/>
          <w:bCs/>
          <w:szCs w:val="21"/>
        </w:rPr>
      </w:pPr>
      <w:r>
        <w:rPr>
          <w:rFonts w:ascii="Calibri Light" w:eastAsia="Calibri Light" w:hAnsi="Calibri Light" w:hint="eastAsia"/>
          <w:b/>
          <w:bCs/>
          <w:szCs w:val="21"/>
        </w:rPr>
        <w:t>（一）</w:t>
      </w:r>
      <w:r>
        <w:rPr>
          <w:rFonts w:ascii="Calibri Light" w:eastAsia="Calibri Light" w:hAnsi="Calibri Light" w:hint="eastAsia"/>
          <w:b/>
          <w:bCs/>
          <w:szCs w:val="21"/>
        </w:rPr>
        <w:t xml:space="preserve"> </w:t>
      </w:r>
      <w:r>
        <w:rPr>
          <w:rFonts w:ascii="Calibri Light" w:eastAsia="Calibri Light" w:hAnsi="Calibri Light" w:hint="eastAsia"/>
          <w:b/>
          <w:bCs/>
          <w:szCs w:val="21"/>
        </w:rPr>
        <w:t>信度检验</w:t>
      </w:r>
    </w:p>
    <w:p w:rsidR="007A0453" w:rsidRDefault="004E3E9B">
      <w:pPr>
        <w:tabs>
          <w:tab w:val="left" w:pos="869"/>
        </w:tabs>
        <w:spacing w:line="400" w:lineRule="exact"/>
        <w:ind w:firstLine="420"/>
        <w:rPr>
          <w:bCs/>
          <w:sz w:val="24"/>
        </w:rPr>
      </w:pPr>
      <w:r>
        <w:rPr>
          <w:bCs/>
          <w:sz w:val="24"/>
        </w:rPr>
        <w:t>信度是指问卷的可靠性或稳定性，此处采用</w:t>
      </w:r>
      <w:r>
        <w:rPr>
          <w:rFonts w:ascii="Times New Roman" w:hAnsi="Times New Roman"/>
          <w:bCs/>
          <w:sz w:val="24"/>
        </w:rPr>
        <w:t>Cronbach’s Alpha</w:t>
      </w:r>
      <w:r>
        <w:rPr>
          <w:bCs/>
          <w:sz w:val="24"/>
        </w:rPr>
        <w:t>信度系数来检验。一般来说，</w:t>
      </w:r>
      <w:r>
        <w:rPr>
          <w:rFonts w:ascii="Times New Roman" w:hAnsi="Times New Roman"/>
          <w:bCs/>
          <w:sz w:val="24"/>
        </w:rPr>
        <w:t>Cronbach’s Alpha</w:t>
      </w:r>
      <w:r>
        <w:rPr>
          <w:bCs/>
          <w:sz w:val="24"/>
        </w:rPr>
        <w:t>大于</w:t>
      </w:r>
      <w:r>
        <w:rPr>
          <w:rFonts w:ascii="Times New Roman" w:hAnsi="Times New Roman"/>
          <w:bCs/>
          <w:sz w:val="24"/>
        </w:rPr>
        <w:t>0.70</w:t>
      </w:r>
      <w:r>
        <w:rPr>
          <w:bCs/>
          <w:sz w:val="24"/>
        </w:rPr>
        <w:t>时认为调查数据具有可靠性、稳定性和一致性。本研究</w:t>
      </w:r>
      <w:r>
        <w:rPr>
          <w:rFonts w:ascii="Times New Roman" w:hAnsi="Times New Roman"/>
          <w:bCs/>
          <w:sz w:val="24"/>
        </w:rPr>
        <w:t>Alpha</w:t>
      </w:r>
      <w:r>
        <w:rPr>
          <w:bCs/>
          <w:sz w:val="24"/>
        </w:rPr>
        <w:t>系数统计结果如表</w:t>
      </w:r>
      <w:r>
        <w:rPr>
          <w:rFonts w:ascii="Times New Roman" w:hAnsi="Times New Roman"/>
          <w:bCs/>
          <w:sz w:val="24"/>
        </w:rPr>
        <w:t>1</w:t>
      </w:r>
      <w:r>
        <w:rPr>
          <w:bCs/>
          <w:sz w:val="24"/>
        </w:rPr>
        <w:t>所示，</w:t>
      </w:r>
      <w:r>
        <w:rPr>
          <w:rFonts w:ascii="Times New Roman" w:hAnsi="Times New Roman"/>
          <w:bCs/>
          <w:sz w:val="24"/>
        </w:rPr>
        <w:t>Alpha</w:t>
      </w:r>
      <w:r>
        <w:rPr>
          <w:bCs/>
          <w:sz w:val="24"/>
        </w:rPr>
        <w:t>系数均大于</w:t>
      </w:r>
      <w:r>
        <w:rPr>
          <w:rFonts w:ascii="Times New Roman" w:hAnsi="Times New Roman"/>
          <w:bCs/>
          <w:sz w:val="24"/>
        </w:rPr>
        <w:t>0.70</w:t>
      </w:r>
      <w:r>
        <w:rPr>
          <w:bCs/>
          <w:sz w:val="24"/>
        </w:rPr>
        <w:t>，说明该问卷的信度较高。</w:t>
      </w:r>
    </w:p>
    <w:p w:rsidR="007A0453" w:rsidRDefault="004E3E9B">
      <w:pPr>
        <w:tabs>
          <w:tab w:val="left" w:pos="869"/>
        </w:tabs>
        <w:spacing w:line="360" w:lineRule="auto"/>
        <w:ind w:firstLine="422"/>
        <w:jc w:val="center"/>
        <w:rPr>
          <w:b/>
          <w:bCs/>
          <w:sz w:val="18"/>
          <w:szCs w:val="18"/>
        </w:rPr>
      </w:pPr>
      <w:r>
        <w:rPr>
          <w:b/>
          <w:bCs/>
          <w:sz w:val="18"/>
          <w:szCs w:val="18"/>
        </w:rPr>
        <w:t>表</w:t>
      </w:r>
      <w:r>
        <w:rPr>
          <w:b/>
          <w:bCs/>
          <w:sz w:val="18"/>
          <w:szCs w:val="18"/>
        </w:rPr>
        <w:t xml:space="preserve">1 Cronbach’s </w:t>
      </w:r>
      <w:r>
        <w:rPr>
          <w:b/>
          <w:bCs/>
          <w:sz w:val="18"/>
          <w:szCs w:val="18"/>
        </w:rPr>
        <w:t>Alpha</w:t>
      </w:r>
      <w:r>
        <w:rPr>
          <w:b/>
          <w:bCs/>
          <w:sz w:val="18"/>
          <w:szCs w:val="18"/>
        </w:rPr>
        <w:t>系数</w:t>
      </w:r>
    </w:p>
    <w:tbl>
      <w:tblPr>
        <w:tblW w:w="6912" w:type="dxa"/>
        <w:jc w:val="center"/>
        <w:tblCellMar>
          <w:left w:w="10" w:type="dxa"/>
          <w:right w:w="10" w:type="dxa"/>
        </w:tblCellMar>
        <w:tblLook w:val="0000"/>
      </w:tblPr>
      <w:tblGrid>
        <w:gridCol w:w="2235"/>
        <w:gridCol w:w="1842"/>
        <w:gridCol w:w="2835"/>
      </w:tblGrid>
      <w:tr w:rsidR="007A0453">
        <w:tblPrEx>
          <w:tblCellMar>
            <w:top w:w="0" w:type="dxa"/>
            <w:bottom w:w="0" w:type="dxa"/>
          </w:tblCellMar>
        </w:tblPrEx>
        <w:trPr>
          <w:jc w:val="center"/>
        </w:trPr>
        <w:tc>
          <w:tcPr>
            <w:tcW w:w="2235" w:type="dxa"/>
            <w:tcBorders>
              <w:top w:val="single" w:sz="12"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sz w:val="18"/>
                <w:szCs w:val="18"/>
              </w:rPr>
            </w:pPr>
            <w:r>
              <w:rPr>
                <w:sz w:val="18"/>
                <w:szCs w:val="18"/>
              </w:rPr>
              <w:t>变量</w:t>
            </w:r>
          </w:p>
        </w:tc>
        <w:tc>
          <w:tcPr>
            <w:tcW w:w="1842" w:type="dxa"/>
            <w:tcBorders>
              <w:top w:val="single" w:sz="12"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pPr>
            <w:r>
              <w:rPr>
                <w:sz w:val="18"/>
                <w:szCs w:val="18"/>
              </w:rPr>
              <w:t>题项数</w:t>
            </w:r>
          </w:p>
        </w:tc>
        <w:tc>
          <w:tcPr>
            <w:tcW w:w="2835" w:type="dxa"/>
            <w:tcBorders>
              <w:top w:val="single" w:sz="12"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rPr>
            </w:pPr>
            <w:r>
              <w:rPr>
                <w:rFonts w:ascii="Times New Roman" w:hAnsi="Times New Roman"/>
                <w:sz w:val="18"/>
                <w:szCs w:val="18"/>
              </w:rPr>
              <w:t>Cronbach’s Alpha</w:t>
            </w:r>
          </w:p>
        </w:tc>
      </w:tr>
      <w:tr w:rsidR="007A0453">
        <w:tblPrEx>
          <w:tblCellMar>
            <w:top w:w="0" w:type="dxa"/>
            <w:bottom w:w="0" w:type="dxa"/>
          </w:tblCellMar>
        </w:tblPrEx>
        <w:trPr>
          <w:jc w:val="center"/>
        </w:trPr>
        <w:tc>
          <w:tcPr>
            <w:tcW w:w="223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sz w:val="18"/>
                <w:szCs w:val="18"/>
              </w:rPr>
            </w:pPr>
            <w:r>
              <w:rPr>
                <w:sz w:val="18"/>
                <w:szCs w:val="18"/>
              </w:rPr>
              <w:t>技术复杂性</w:t>
            </w:r>
          </w:p>
        </w:tc>
        <w:tc>
          <w:tcPr>
            <w:tcW w:w="18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5</w:t>
            </w:r>
          </w:p>
        </w:tc>
        <w:tc>
          <w:tcPr>
            <w:tcW w:w="283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0.783</w:t>
            </w:r>
          </w:p>
        </w:tc>
      </w:tr>
      <w:tr w:rsidR="007A0453">
        <w:tblPrEx>
          <w:tblCellMar>
            <w:top w:w="0" w:type="dxa"/>
            <w:bottom w:w="0" w:type="dxa"/>
          </w:tblCellMar>
        </w:tblPrEx>
        <w:trPr>
          <w:jc w:val="center"/>
        </w:trPr>
        <w:tc>
          <w:tcPr>
            <w:tcW w:w="223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sz w:val="18"/>
                <w:szCs w:val="18"/>
              </w:rPr>
            </w:pPr>
            <w:r>
              <w:rPr>
                <w:sz w:val="18"/>
                <w:szCs w:val="18"/>
              </w:rPr>
              <w:t>便利条件</w:t>
            </w:r>
          </w:p>
        </w:tc>
        <w:tc>
          <w:tcPr>
            <w:tcW w:w="18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3</w:t>
            </w:r>
          </w:p>
        </w:tc>
        <w:tc>
          <w:tcPr>
            <w:tcW w:w="283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0.835</w:t>
            </w:r>
          </w:p>
        </w:tc>
      </w:tr>
      <w:tr w:rsidR="007A0453">
        <w:tblPrEx>
          <w:tblCellMar>
            <w:top w:w="0" w:type="dxa"/>
            <w:bottom w:w="0" w:type="dxa"/>
          </w:tblCellMar>
        </w:tblPrEx>
        <w:trPr>
          <w:jc w:val="center"/>
        </w:trPr>
        <w:tc>
          <w:tcPr>
            <w:tcW w:w="223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sz w:val="18"/>
                <w:szCs w:val="18"/>
              </w:rPr>
            </w:pPr>
            <w:r>
              <w:rPr>
                <w:sz w:val="18"/>
                <w:szCs w:val="18"/>
              </w:rPr>
              <w:t>个人差异</w:t>
            </w:r>
          </w:p>
        </w:tc>
        <w:tc>
          <w:tcPr>
            <w:tcW w:w="18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5</w:t>
            </w:r>
          </w:p>
        </w:tc>
        <w:tc>
          <w:tcPr>
            <w:tcW w:w="283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0.776</w:t>
            </w:r>
          </w:p>
        </w:tc>
      </w:tr>
      <w:tr w:rsidR="007A0453">
        <w:tblPrEx>
          <w:tblCellMar>
            <w:top w:w="0" w:type="dxa"/>
            <w:bottom w:w="0" w:type="dxa"/>
          </w:tblCellMar>
        </w:tblPrEx>
        <w:trPr>
          <w:jc w:val="center"/>
        </w:trPr>
        <w:tc>
          <w:tcPr>
            <w:tcW w:w="223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sz w:val="18"/>
                <w:szCs w:val="18"/>
              </w:rPr>
            </w:pPr>
            <w:r>
              <w:rPr>
                <w:sz w:val="18"/>
                <w:szCs w:val="18"/>
              </w:rPr>
              <w:t>社会影响</w:t>
            </w:r>
          </w:p>
        </w:tc>
        <w:tc>
          <w:tcPr>
            <w:tcW w:w="18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4</w:t>
            </w:r>
          </w:p>
        </w:tc>
        <w:tc>
          <w:tcPr>
            <w:tcW w:w="283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0.795</w:t>
            </w:r>
          </w:p>
        </w:tc>
      </w:tr>
      <w:tr w:rsidR="007A0453">
        <w:tblPrEx>
          <w:tblCellMar>
            <w:top w:w="0" w:type="dxa"/>
            <w:bottom w:w="0" w:type="dxa"/>
          </w:tblCellMar>
        </w:tblPrEx>
        <w:trPr>
          <w:jc w:val="center"/>
        </w:trPr>
        <w:tc>
          <w:tcPr>
            <w:tcW w:w="2235" w:type="dxa"/>
            <w:tcBorders>
              <w:top w:val="none" w:sz="0" w:space="0" w:color="000000"/>
              <w:left w:val="none" w:sz="0" w:space="0" w:color="000000"/>
              <w:bottom w:val="single" w:sz="12" w:space="0" w:color="000000"/>
              <w:right w:val="none" w:sz="0" w:space="0" w:color="000000"/>
            </w:tcBorders>
            <w:tcMar>
              <w:top w:w="0" w:type="dxa"/>
              <w:left w:w="108" w:type="dxa"/>
              <w:bottom w:w="0" w:type="dxa"/>
              <w:right w:w="108" w:type="dxa"/>
            </w:tcMar>
            <w:vAlign w:val="center"/>
          </w:tcPr>
          <w:p w:rsidR="007A0453" w:rsidRDefault="004E3E9B">
            <w:pPr>
              <w:jc w:val="center"/>
              <w:rPr>
                <w:sz w:val="18"/>
                <w:szCs w:val="18"/>
              </w:rPr>
            </w:pPr>
            <w:r>
              <w:rPr>
                <w:sz w:val="18"/>
                <w:szCs w:val="18"/>
              </w:rPr>
              <w:t>电商信任程度</w:t>
            </w:r>
          </w:p>
        </w:tc>
        <w:tc>
          <w:tcPr>
            <w:tcW w:w="1842" w:type="dxa"/>
            <w:tcBorders>
              <w:top w:val="none" w:sz="0" w:space="0" w:color="000000"/>
              <w:left w:val="none" w:sz="0" w:space="0" w:color="000000"/>
              <w:bottom w:val="single" w:sz="12"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4</w:t>
            </w:r>
          </w:p>
        </w:tc>
        <w:tc>
          <w:tcPr>
            <w:tcW w:w="2835" w:type="dxa"/>
            <w:tcBorders>
              <w:top w:val="none" w:sz="0" w:space="0" w:color="000000"/>
              <w:left w:val="none" w:sz="0" w:space="0" w:color="000000"/>
              <w:bottom w:val="single" w:sz="12" w:space="0" w:color="000000"/>
              <w:right w:val="none" w:sz="0" w:space="0" w:color="000000"/>
            </w:tcBorders>
            <w:tcMar>
              <w:top w:w="0" w:type="dxa"/>
              <w:left w:w="108" w:type="dxa"/>
              <w:bottom w:w="0" w:type="dxa"/>
              <w:right w:w="108" w:type="dxa"/>
            </w:tcMar>
            <w:vAlign w:val="center"/>
          </w:tcPr>
          <w:p w:rsidR="007A0453" w:rsidRDefault="004E3E9B">
            <w:pPr>
              <w:jc w:val="center"/>
              <w:rPr>
                <w:rFonts w:ascii="Times New Roman" w:hAnsi="Times New Roman"/>
                <w:sz w:val="18"/>
                <w:szCs w:val="18"/>
              </w:rPr>
            </w:pPr>
            <w:r>
              <w:rPr>
                <w:rFonts w:ascii="Times New Roman" w:hAnsi="Times New Roman"/>
                <w:sz w:val="18"/>
                <w:szCs w:val="18"/>
              </w:rPr>
              <w:t>0.869</w:t>
            </w:r>
          </w:p>
        </w:tc>
      </w:tr>
    </w:tbl>
    <w:p w:rsidR="007A0453" w:rsidRDefault="004E3E9B">
      <w:pPr>
        <w:tabs>
          <w:tab w:val="left" w:pos="869"/>
        </w:tabs>
        <w:spacing w:before="157" w:after="157" w:line="400" w:lineRule="exact"/>
        <w:rPr>
          <w:rFonts w:ascii="Calibri Light" w:eastAsia="Calibri Light" w:hAnsi="Calibri Light"/>
          <w:b/>
          <w:bCs/>
          <w:szCs w:val="21"/>
        </w:rPr>
      </w:pPr>
      <w:r>
        <w:rPr>
          <w:rFonts w:ascii="Calibri Light" w:eastAsia="Calibri Light" w:hAnsi="Calibri Light" w:hint="eastAsia"/>
          <w:b/>
          <w:bCs/>
          <w:szCs w:val="21"/>
        </w:rPr>
        <w:t>（二）</w:t>
      </w:r>
      <w:r>
        <w:rPr>
          <w:rFonts w:ascii="Calibri Light" w:eastAsia="Calibri Light" w:hAnsi="Calibri Light" w:hint="eastAsia"/>
          <w:b/>
          <w:bCs/>
          <w:szCs w:val="21"/>
        </w:rPr>
        <w:t xml:space="preserve"> </w:t>
      </w:r>
      <w:r>
        <w:rPr>
          <w:rFonts w:ascii="Calibri Light" w:eastAsia="Calibri Light" w:hAnsi="Calibri Light" w:hint="eastAsia"/>
          <w:b/>
          <w:bCs/>
          <w:szCs w:val="21"/>
        </w:rPr>
        <w:t>效度检验</w:t>
      </w:r>
    </w:p>
    <w:p w:rsidR="007A0453" w:rsidRDefault="004E3E9B">
      <w:pPr>
        <w:tabs>
          <w:tab w:val="left" w:pos="869"/>
        </w:tabs>
        <w:spacing w:line="400" w:lineRule="exact"/>
        <w:ind w:firstLine="480"/>
        <w:rPr>
          <w:b/>
          <w:bCs/>
          <w:sz w:val="24"/>
        </w:rPr>
      </w:pPr>
      <w:r>
        <w:rPr>
          <w:sz w:val="24"/>
        </w:rPr>
        <w:t>效度检验主要是用于判断问卷的有效性。</w:t>
      </w:r>
      <w:r>
        <w:rPr>
          <w:rFonts w:ascii="宋体" w:eastAsia="宋体" w:hAnsi="宋体" w:cs="宋体" w:hint="eastAsia"/>
          <w:sz w:val="24"/>
        </w:rPr>
        <w:t>本文采用</w:t>
      </w:r>
      <w:r>
        <w:rPr>
          <w:rFonts w:ascii="Times New Roman" w:eastAsia="宋体" w:hAnsi="Times New Roman"/>
          <w:sz w:val="24"/>
        </w:rPr>
        <w:t>KMO</w:t>
      </w:r>
      <w:r>
        <w:rPr>
          <w:rFonts w:ascii="宋体" w:eastAsia="宋体" w:hAnsi="宋体" w:cs="宋体" w:hint="eastAsia"/>
          <w:sz w:val="24"/>
        </w:rPr>
        <w:t>测量方法和</w:t>
      </w:r>
      <w:bookmarkStart w:id="0" w:name="OLE_LINK2"/>
      <w:bookmarkEnd w:id="0"/>
      <w:r>
        <w:rPr>
          <w:rFonts w:ascii="Times New Roman" w:eastAsia="宋体" w:hAnsi="Times New Roman"/>
          <w:sz w:val="24"/>
        </w:rPr>
        <w:t>bartlett</w:t>
      </w:r>
      <w:r>
        <w:rPr>
          <w:rFonts w:ascii="宋体" w:eastAsia="宋体" w:hAnsi="宋体" w:cs="宋体" w:hint="eastAsia"/>
          <w:sz w:val="24"/>
        </w:rPr>
        <w:t>球体检验法检验数据是否适合因子检验。进行统计分析得出，量表总体及所有潜在变量的</w:t>
      </w:r>
      <w:r>
        <w:rPr>
          <w:rFonts w:ascii="Times New Roman" w:eastAsia="宋体" w:hAnsi="Times New Roman"/>
          <w:sz w:val="24"/>
        </w:rPr>
        <w:t>KMO</w:t>
      </w:r>
      <w:r>
        <w:rPr>
          <w:rFonts w:ascii="宋体" w:eastAsia="宋体" w:hAnsi="宋体" w:cs="宋体" w:hint="eastAsia"/>
          <w:sz w:val="24"/>
        </w:rPr>
        <w:t>值为</w:t>
      </w:r>
      <w:r>
        <w:rPr>
          <w:rFonts w:ascii="Times New Roman" w:eastAsia="宋体" w:hAnsi="Times New Roman"/>
          <w:sz w:val="24"/>
        </w:rPr>
        <w:t>0.613</w:t>
      </w:r>
      <w:r>
        <w:rPr>
          <w:rFonts w:ascii="宋体" w:eastAsia="宋体" w:hAnsi="宋体" w:cs="宋体" w:hint="eastAsia"/>
          <w:sz w:val="24"/>
        </w:rPr>
        <w:t>，大于</w:t>
      </w:r>
      <w:r>
        <w:rPr>
          <w:rFonts w:ascii="Times New Roman" w:eastAsia="宋体" w:hAnsi="Times New Roman"/>
          <w:sz w:val="24"/>
        </w:rPr>
        <w:t>0.6</w:t>
      </w:r>
      <w:r>
        <w:rPr>
          <w:rFonts w:ascii="宋体" w:eastAsia="宋体" w:hAnsi="宋体" w:cs="宋体" w:hint="eastAsia"/>
          <w:sz w:val="24"/>
        </w:rPr>
        <w:t>（当</w:t>
      </w:r>
      <w:r>
        <w:rPr>
          <w:rFonts w:ascii="Times New Roman" w:eastAsia="宋体" w:hAnsi="Times New Roman"/>
          <w:sz w:val="24"/>
        </w:rPr>
        <w:t>KMO</w:t>
      </w:r>
      <w:r>
        <w:rPr>
          <w:rFonts w:ascii="宋体" w:eastAsia="宋体" w:hAnsi="宋体" w:cs="宋体" w:hint="eastAsia"/>
          <w:sz w:val="24"/>
        </w:rPr>
        <w:t>值大于</w:t>
      </w:r>
      <w:r>
        <w:rPr>
          <w:rFonts w:ascii="Times New Roman" w:eastAsia="宋体" w:hAnsi="Times New Roman"/>
          <w:sz w:val="24"/>
        </w:rPr>
        <w:t>0.6</w:t>
      </w:r>
      <w:r>
        <w:rPr>
          <w:rFonts w:ascii="宋体" w:eastAsia="宋体" w:hAnsi="宋体" w:cs="宋体" w:hint="eastAsia"/>
          <w:sz w:val="24"/>
        </w:rPr>
        <w:t>时适合做因子分析）；且</w:t>
      </w:r>
      <w:r>
        <w:rPr>
          <w:rFonts w:ascii="Times New Roman" w:eastAsia="宋体" w:hAnsi="Times New Roman"/>
          <w:sz w:val="24"/>
        </w:rPr>
        <w:t>bartlett</w:t>
      </w:r>
      <w:r>
        <w:rPr>
          <w:rFonts w:ascii="宋体" w:eastAsia="宋体" w:hAnsi="宋体" w:cs="宋体" w:hint="eastAsia"/>
          <w:sz w:val="24"/>
        </w:rPr>
        <w:t>球形度检验的结果显著（</w:t>
      </w:r>
      <w:r>
        <w:rPr>
          <w:rFonts w:ascii="Times New Roman" w:eastAsia="宋体" w:hAnsi="Times New Roman"/>
          <w:sz w:val="24"/>
        </w:rPr>
        <w:t>Sig</w:t>
      </w:r>
      <w:r>
        <w:rPr>
          <w:rFonts w:ascii="宋体" w:eastAsia="宋体" w:hAnsi="宋体" w:cs="宋体" w:hint="eastAsia"/>
          <w:sz w:val="24"/>
        </w:rPr>
        <w:t>&lt;</w:t>
      </w:r>
      <w:r>
        <w:rPr>
          <w:rFonts w:ascii="Times New Roman" w:eastAsia="宋体" w:hAnsi="Times New Roman"/>
          <w:sz w:val="24"/>
        </w:rPr>
        <w:t>0.001</w:t>
      </w:r>
      <w:r>
        <w:rPr>
          <w:rFonts w:ascii="宋体" w:eastAsia="宋体" w:hAnsi="宋体" w:cs="宋体" w:hint="eastAsia"/>
          <w:sz w:val="24"/>
        </w:rPr>
        <w:t>），表明变量间存在相关关系，可以进行因子分析。</w:t>
      </w:r>
    </w:p>
    <w:p w:rsidR="007A0453" w:rsidRDefault="004E3E9B">
      <w:pPr>
        <w:spacing w:before="157" w:after="157" w:line="400" w:lineRule="exact"/>
        <w:jc w:val="left"/>
        <w:rPr>
          <w:rFonts w:ascii="Calibri Light" w:eastAsia="Calibri Light" w:hAnsi="Calibri Light"/>
          <w:b/>
          <w:bCs/>
          <w:szCs w:val="21"/>
        </w:rPr>
      </w:pPr>
      <w:r>
        <w:rPr>
          <w:rFonts w:ascii="Calibri Light" w:eastAsia="Calibri Light" w:hAnsi="Calibri Light" w:hint="eastAsia"/>
          <w:b/>
          <w:bCs/>
          <w:szCs w:val="21"/>
        </w:rPr>
        <w:t>（三）</w:t>
      </w:r>
      <w:r>
        <w:rPr>
          <w:rFonts w:ascii="Calibri Light" w:eastAsia="Calibri Light" w:hAnsi="Calibri Light" w:hint="eastAsia"/>
          <w:b/>
          <w:bCs/>
          <w:szCs w:val="21"/>
        </w:rPr>
        <w:t xml:space="preserve"> </w:t>
      </w:r>
      <w:r>
        <w:rPr>
          <w:rFonts w:ascii="Calibri Light" w:eastAsia="Calibri Light" w:hAnsi="Calibri Light" w:hint="eastAsia"/>
          <w:b/>
          <w:bCs/>
          <w:szCs w:val="21"/>
        </w:rPr>
        <w:t>因子重要程度分析</w:t>
      </w:r>
    </w:p>
    <w:p w:rsidR="007A0453" w:rsidRDefault="004E3E9B">
      <w:pPr>
        <w:spacing w:line="400" w:lineRule="exact"/>
        <w:ind w:firstLine="480"/>
        <w:jc w:val="left"/>
        <w:rPr>
          <w:rFonts w:ascii="宋体" w:eastAsia="宋体" w:hAnsi="宋体" w:cs="宋体"/>
          <w:szCs w:val="21"/>
        </w:rPr>
      </w:pPr>
      <w:r>
        <w:rPr>
          <w:rFonts w:ascii="宋体" w:eastAsia="宋体" w:hAnsi="宋体" w:cs="宋体" w:hint="eastAsia"/>
          <w:sz w:val="24"/>
        </w:rPr>
        <w:t>本文通过因子分析，结合表</w:t>
      </w:r>
      <w:r>
        <w:rPr>
          <w:rFonts w:ascii="Times New Roman" w:eastAsia="宋体" w:hAnsi="Times New Roman"/>
          <w:sz w:val="24"/>
        </w:rPr>
        <w:t>2</w:t>
      </w:r>
      <w:r>
        <w:rPr>
          <w:rFonts w:ascii="宋体" w:eastAsia="宋体" w:hAnsi="宋体" w:cs="宋体" w:hint="eastAsia"/>
          <w:sz w:val="24"/>
        </w:rPr>
        <w:t>、表</w:t>
      </w:r>
      <w:r>
        <w:rPr>
          <w:rFonts w:ascii="Times New Roman" w:eastAsia="宋体" w:hAnsi="Times New Roman"/>
          <w:sz w:val="24"/>
        </w:rPr>
        <w:t>3</w:t>
      </w:r>
      <w:r>
        <w:rPr>
          <w:rFonts w:ascii="宋体" w:eastAsia="宋体" w:hAnsi="宋体" w:cs="宋体" w:hint="eastAsia"/>
          <w:sz w:val="24"/>
        </w:rPr>
        <w:t>以及表</w:t>
      </w:r>
      <w:r>
        <w:rPr>
          <w:rFonts w:ascii="Times New Roman" w:eastAsia="宋体" w:hAnsi="Times New Roman"/>
          <w:sz w:val="24"/>
        </w:rPr>
        <w:t>4</w:t>
      </w:r>
      <w:r>
        <w:rPr>
          <w:rFonts w:ascii="宋体" w:eastAsia="宋体" w:hAnsi="宋体" w:cs="宋体" w:hint="eastAsia"/>
          <w:sz w:val="24"/>
        </w:rPr>
        <w:t>来测度不同的因素对农村电子商务接受的影响程度。</w:t>
      </w:r>
      <w:r>
        <w:rPr>
          <w:rFonts w:ascii="宋体" w:eastAsia="宋体" w:hAnsi="宋体" w:cs="宋体" w:hint="eastAsia"/>
          <w:sz w:val="24"/>
        </w:rPr>
        <w:t xml:space="preserve"> </w:t>
      </w:r>
    </w:p>
    <w:p w:rsidR="007A0453" w:rsidRDefault="004E3E9B">
      <w:pPr>
        <w:jc w:val="center"/>
        <w:rPr>
          <w:rFonts w:ascii="宋体" w:eastAsia="宋体" w:hAnsi="宋体" w:cs="宋体"/>
          <w:b/>
          <w:bCs/>
          <w:sz w:val="18"/>
          <w:szCs w:val="18"/>
        </w:rPr>
      </w:pPr>
      <w:r>
        <w:rPr>
          <w:rFonts w:ascii="宋体" w:eastAsia="宋体" w:hAnsi="宋体" w:cs="宋体" w:hint="eastAsia"/>
          <w:b/>
          <w:bCs/>
          <w:sz w:val="18"/>
          <w:szCs w:val="18"/>
        </w:rPr>
        <w:t>表</w:t>
      </w:r>
      <w:r>
        <w:rPr>
          <w:rFonts w:ascii="Times New Roman" w:eastAsia="宋体" w:hAnsi="Times New Roman"/>
          <w:b/>
          <w:bCs/>
          <w:sz w:val="18"/>
          <w:szCs w:val="18"/>
        </w:rPr>
        <w:t xml:space="preserve">2 </w:t>
      </w:r>
      <w:r>
        <w:rPr>
          <w:rFonts w:ascii="宋体" w:eastAsia="宋体" w:hAnsi="宋体" w:cs="宋体" w:hint="eastAsia"/>
          <w:b/>
          <w:bCs/>
          <w:sz w:val="18"/>
          <w:szCs w:val="18"/>
        </w:rPr>
        <w:t xml:space="preserve"> </w:t>
      </w:r>
      <w:r>
        <w:rPr>
          <w:rFonts w:ascii="宋体" w:eastAsia="宋体" w:hAnsi="宋体" w:cs="宋体" w:hint="eastAsia"/>
          <w:b/>
          <w:bCs/>
          <w:sz w:val="18"/>
          <w:szCs w:val="18"/>
        </w:rPr>
        <w:t>解释的总方差</w:t>
      </w:r>
    </w:p>
    <w:tbl>
      <w:tblPr>
        <w:tblW w:w="9600" w:type="dxa"/>
        <w:jc w:val="center"/>
        <w:tblCellMar>
          <w:left w:w="10" w:type="dxa"/>
          <w:right w:w="10" w:type="dxa"/>
        </w:tblCellMar>
        <w:tblLook w:val="0000"/>
      </w:tblPr>
      <w:tblGrid>
        <w:gridCol w:w="703"/>
        <w:gridCol w:w="976"/>
        <w:gridCol w:w="1012"/>
        <w:gridCol w:w="977"/>
        <w:gridCol w:w="977"/>
        <w:gridCol w:w="1013"/>
        <w:gridCol w:w="976"/>
        <w:gridCol w:w="977"/>
        <w:gridCol w:w="1012"/>
        <w:gridCol w:w="977"/>
      </w:tblGrid>
      <w:tr w:rsidR="007A0453">
        <w:tblPrEx>
          <w:tblCellMar>
            <w:top w:w="0" w:type="dxa"/>
            <w:bottom w:w="0" w:type="dxa"/>
          </w:tblCellMar>
        </w:tblPrEx>
        <w:trPr>
          <w:cantSplit/>
          <w:trHeight w:val="349"/>
          <w:tblHeader/>
          <w:jc w:val="center"/>
        </w:trPr>
        <w:tc>
          <w:tcPr>
            <w:tcW w:w="703" w:type="dxa"/>
            <w:vMerge w:val="restart"/>
            <w:tcBorders>
              <w:top w:val="single" w:sz="12"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right="60"/>
              <w:rPr>
                <w:sz w:val="18"/>
                <w:szCs w:val="18"/>
              </w:rPr>
            </w:pPr>
            <w:r>
              <w:rPr>
                <w:sz w:val="18"/>
                <w:szCs w:val="18"/>
              </w:rPr>
              <w:t>成份</w:t>
            </w:r>
          </w:p>
        </w:tc>
        <w:tc>
          <w:tcPr>
            <w:tcW w:w="2965" w:type="dxa"/>
            <w:gridSpan w:val="3"/>
            <w:tcBorders>
              <w:top w:val="single" w:sz="12"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初始特征值</w:t>
            </w:r>
          </w:p>
        </w:tc>
        <w:tc>
          <w:tcPr>
            <w:tcW w:w="2966" w:type="dxa"/>
            <w:gridSpan w:val="3"/>
            <w:tcBorders>
              <w:top w:val="single" w:sz="12"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提取平方和载入</w:t>
            </w:r>
          </w:p>
        </w:tc>
        <w:tc>
          <w:tcPr>
            <w:tcW w:w="2966" w:type="dxa"/>
            <w:gridSpan w:val="3"/>
            <w:tcBorders>
              <w:top w:val="single" w:sz="12"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旋转平方和载入</w:t>
            </w:r>
          </w:p>
        </w:tc>
      </w:tr>
      <w:tr w:rsidR="007A0453">
        <w:tblPrEx>
          <w:tblCellMar>
            <w:top w:w="0" w:type="dxa"/>
            <w:bottom w:w="0" w:type="dxa"/>
          </w:tblCellMar>
        </w:tblPrEx>
        <w:trPr>
          <w:cantSplit/>
          <w:trHeight w:val="388"/>
          <w:tblHeader/>
          <w:jc w:val="center"/>
        </w:trPr>
        <w:tc>
          <w:tcPr>
            <w:tcW w:w="703" w:type="dxa"/>
            <w:vMerge/>
            <w:tcBorders>
              <w:top w:val="none" w:sz="0"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7A0453"/>
        </w:tc>
        <w:tc>
          <w:tcPr>
            <w:tcW w:w="976"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 xml:space="preserve">   </w:t>
            </w:r>
            <w:r>
              <w:rPr>
                <w:sz w:val="18"/>
                <w:szCs w:val="18"/>
              </w:rPr>
              <w:t>合计</w:t>
            </w:r>
          </w:p>
        </w:tc>
        <w:tc>
          <w:tcPr>
            <w:tcW w:w="1012"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方差的</w:t>
            </w:r>
            <w:r>
              <w:rPr>
                <w:sz w:val="18"/>
                <w:szCs w:val="18"/>
              </w:rPr>
              <w:t xml:space="preserve"> %</w:t>
            </w:r>
          </w:p>
        </w:tc>
        <w:tc>
          <w:tcPr>
            <w:tcW w:w="977"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 xml:space="preserve">  </w:t>
            </w:r>
            <w:r>
              <w:rPr>
                <w:sz w:val="18"/>
                <w:szCs w:val="18"/>
              </w:rPr>
              <w:t>累积</w:t>
            </w:r>
            <w:r>
              <w:rPr>
                <w:sz w:val="18"/>
                <w:szCs w:val="18"/>
              </w:rPr>
              <w:t xml:space="preserve"> %</w:t>
            </w:r>
          </w:p>
        </w:tc>
        <w:tc>
          <w:tcPr>
            <w:tcW w:w="977"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 xml:space="preserve">   </w:t>
            </w:r>
            <w:r>
              <w:rPr>
                <w:sz w:val="18"/>
                <w:szCs w:val="18"/>
              </w:rPr>
              <w:t>合计</w:t>
            </w:r>
          </w:p>
        </w:tc>
        <w:tc>
          <w:tcPr>
            <w:tcW w:w="1013"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方差的</w:t>
            </w:r>
            <w:r>
              <w:rPr>
                <w:sz w:val="18"/>
                <w:szCs w:val="18"/>
              </w:rPr>
              <w:t xml:space="preserve"> %</w:t>
            </w:r>
          </w:p>
        </w:tc>
        <w:tc>
          <w:tcPr>
            <w:tcW w:w="976"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 xml:space="preserve">  </w:t>
            </w:r>
            <w:r>
              <w:rPr>
                <w:sz w:val="18"/>
                <w:szCs w:val="18"/>
              </w:rPr>
              <w:t>累积</w:t>
            </w:r>
            <w:r>
              <w:rPr>
                <w:sz w:val="18"/>
                <w:szCs w:val="18"/>
              </w:rPr>
              <w:t xml:space="preserve"> %</w:t>
            </w:r>
          </w:p>
        </w:tc>
        <w:tc>
          <w:tcPr>
            <w:tcW w:w="977"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 xml:space="preserve">   </w:t>
            </w:r>
            <w:r>
              <w:rPr>
                <w:sz w:val="18"/>
                <w:szCs w:val="18"/>
              </w:rPr>
              <w:t>合计</w:t>
            </w:r>
          </w:p>
        </w:tc>
        <w:tc>
          <w:tcPr>
            <w:tcW w:w="1012"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方差的</w:t>
            </w:r>
            <w:r>
              <w:rPr>
                <w:sz w:val="18"/>
                <w:szCs w:val="18"/>
              </w:rPr>
              <w:t xml:space="preserve"> %</w:t>
            </w:r>
          </w:p>
        </w:tc>
        <w:tc>
          <w:tcPr>
            <w:tcW w:w="977"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 w:val="18"/>
                <w:szCs w:val="18"/>
              </w:rPr>
            </w:pPr>
            <w:r>
              <w:rPr>
                <w:sz w:val="18"/>
                <w:szCs w:val="18"/>
              </w:rPr>
              <w:t xml:space="preserve">  </w:t>
            </w:r>
            <w:r>
              <w:rPr>
                <w:sz w:val="18"/>
                <w:szCs w:val="18"/>
              </w:rPr>
              <w:t>累积</w:t>
            </w:r>
            <w:r>
              <w:rPr>
                <w:sz w:val="18"/>
                <w:szCs w:val="18"/>
              </w:rPr>
              <w:t xml:space="preserve"> %</w:t>
            </w:r>
          </w:p>
        </w:tc>
      </w:tr>
      <w:tr w:rsidR="007A0453">
        <w:tblPrEx>
          <w:tblCellMar>
            <w:top w:w="0" w:type="dxa"/>
            <w:bottom w:w="0" w:type="dxa"/>
          </w:tblCellMar>
        </w:tblPrEx>
        <w:trPr>
          <w:cantSplit/>
          <w:trHeight w:val="329"/>
          <w:tblHeader/>
          <w:jc w:val="center"/>
        </w:trPr>
        <w:tc>
          <w:tcPr>
            <w:tcW w:w="703"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rFonts w:ascii="Times New Roman" w:hAnsi="Times New Roman"/>
                <w:sz w:val="18"/>
                <w:szCs w:val="18"/>
              </w:rPr>
            </w:pPr>
            <w:r>
              <w:rPr>
                <w:rFonts w:ascii="Times New Roman" w:hAnsi="Times New Roman"/>
                <w:sz w:val="18"/>
                <w:szCs w:val="18"/>
              </w:rPr>
              <w:t>1</w:t>
            </w:r>
          </w:p>
        </w:tc>
        <w:tc>
          <w:tcPr>
            <w:tcW w:w="976"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1.665</w:t>
            </w:r>
          </w:p>
        </w:tc>
        <w:tc>
          <w:tcPr>
            <w:tcW w:w="1012"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33.297</w:t>
            </w:r>
          </w:p>
        </w:tc>
        <w:tc>
          <w:tcPr>
            <w:tcW w:w="977"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33.297</w:t>
            </w:r>
          </w:p>
        </w:tc>
        <w:tc>
          <w:tcPr>
            <w:tcW w:w="977"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1.665</w:t>
            </w:r>
          </w:p>
        </w:tc>
        <w:tc>
          <w:tcPr>
            <w:tcW w:w="1013"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33.297</w:t>
            </w:r>
          </w:p>
        </w:tc>
        <w:tc>
          <w:tcPr>
            <w:tcW w:w="976"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33.297</w:t>
            </w:r>
          </w:p>
        </w:tc>
        <w:tc>
          <w:tcPr>
            <w:tcW w:w="977"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1.355</w:t>
            </w:r>
          </w:p>
        </w:tc>
        <w:tc>
          <w:tcPr>
            <w:tcW w:w="1012"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27.107</w:t>
            </w:r>
          </w:p>
        </w:tc>
        <w:tc>
          <w:tcPr>
            <w:tcW w:w="977"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27.107</w:t>
            </w:r>
          </w:p>
        </w:tc>
      </w:tr>
      <w:tr w:rsidR="007A0453">
        <w:tblPrEx>
          <w:tblCellMar>
            <w:top w:w="0" w:type="dxa"/>
            <w:bottom w:w="0" w:type="dxa"/>
          </w:tblCellMar>
        </w:tblPrEx>
        <w:trPr>
          <w:cantSplit/>
          <w:trHeight w:val="319"/>
          <w:tblHeader/>
          <w:jc w:val="center"/>
        </w:trPr>
        <w:tc>
          <w:tcPr>
            <w:tcW w:w="70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rFonts w:ascii="Times New Roman" w:hAnsi="Times New Roman"/>
                <w:sz w:val="18"/>
                <w:szCs w:val="18"/>
              </w:rPr>
            </w:pPr>
            <w:r>
              <w:rPr>
                <w:rFonts w:ascii="Times New Roman" w:hAnsi="Times New Roman"/>
                <w:sz w:val="18"/>
                <w:szCs w:val="18"/>
              </w:rPr>
              <w:t>2</w:t>
            </w:r>
          </w:p>
        </w:tc>
        <w:tc>
          <w:tcPr>
            <w:tcW w:w="97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1.035</w:t>
            </w:r>
          </w:p>
        </w:tc>
        <w:tc>
          <w:tcPr>
            <w:tcW w:w="1012"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20.702</w:t>
            </w: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53.998</w:t>
            </w: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1.035</w:t>
            </w:r>
          </w:p>
        </w:tc>
        <w:tc>
          <w:tcPr>
            <w:tcW w:w="101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20.702</w:t>
            </w:r>
          </w:p>
        </w:tc>
        <w:tc>
          <w:tcPr>
            <w:tcW w:w="97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53.998</w:t>
            </w: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1.345</w:t>
            </w:r>
          </w:p>
        </w:tc>
        <w:tc>
          <w:tcPr>
            <w:tcW w:w="1012"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26.891</w:t>
            </w: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53.998</w:t>
            </w:r>
          </w:p>
        </w:tc>
      </w:tr>
      <w:tr w:rsidR="007A0453">
        <w:tblPrEx>
          <w:tblCellMar>
            <w:top w:w="0" w:type="dxa"/>
            <w:bottom w:w="0" w:type="dxa"/>
          </w:tblCellMar>
        </w:tblPrEx>
        <w:trPr>
          <w:cantSplit/>
          <w:trHeight w:val="319"/>
          <w:tblHeader/>
          <w:jc w:val="center"/>
        </w:trPr>
        <w:tc>
          <w:tcPr>
            <w:tcW w:w="70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rFonts w:ascii="Times New Roman" w:hAnsi="Times New Roman"/>
                <w:sz w:val="18"/>
                <w:szCs w:val="18"/>
              </w:rPr>
            </w:pPr>
            <w:r>
              <w:rPr>
                <w:rFonts w:ascii="Times New Roman" w:hAnsi="Times New Roman"/>
                <w:sz w:val="18"/>
                <w:szCs w:val="18"/>
              </w:rPr>
              <w:t>3</w:t>
            </w:r>
          </w:p>
        </w:tc>
        <w:tc>
          <w:tcPr>
            <w:tcW w:w="97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.917</w:t>
            </w:r>
          </w:p>
        </w:tc>
        <w:tc>
          <w:tcPr>
            <w:tcW w:w="1012"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18.343</w:t>
            </w: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72.341</w:t>
            </w: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101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1012"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r>
      <w:tr w:rsidR="007A0453">
        <w:tblPrEx>
          <w:tblCellMar>
            <w:top w:w="0" w:type="dxa"/>
            <w:bottom w:w="0" w:type="dxa"/>
          </w:tblCellMar>
        </w:tblPrEx>
        <w:trPr>
          <w:cantSplit/>
          <w:trHeight w:val="319"/>
          <w:tblHeader/>
          <w:jc w:val="center"/>
        </w:trPr>
        <w:tc>
          <w:tcPr>
            <w:tcW w:w="70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rFonts w:ascii="Times New Roman" w:hAnsi="Times New Roman"/>
                <w:sz w:val="18"/>
                <w:szCs w:val="18"/>
              </w:rPr>
            </w:pPr>
            <w:r>
              <w:rPr>
                <w:rFonts w:ascii="Times New Roman" w:hAnsi="Times New Roman"/>
                <w:sz w:val="18"/>
                <w:szCs w:val="18"/>
              </w:rPr>
              <w:t>4</w:t>
            </w:r>
          </w:p>
        </w:tc>
        <w:tc>
          <w:tcPr>
            <w:tcW w:w="97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.727</w:t>
            </w:r>
          </w:p>
        </w:tc>
        <w:tc>
          <w:tcPr>
            <w:tcW w:w="1012"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14.549</w:t>
            </w: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86.890</w:t>
            </w: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101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1012"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7"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r>
      <w:tr w:rsidR="007A0453">
        <w:tblPrEx>
          <w:tblCellMar>
            <w:top w:w="0" w:type="dxa"/>
            <w:bottom w:w="0" w:type="dxa"/>
          </w:tblCellMar>
        </w:tblPrEx>
        <w:trPr>
          <w:cantSplit/>
          <w:trHeight w:val="349"/>
          <w:tblHeader/>
          <w:jc w:val="center"/>
        </w:trPr>
        <w:tc>
          <w:tcPr>
            <w:tcW w:w="703"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rFonts w:ascii="Times New Roman" w:hAnsi="Times New Roman"/>
                <w:sz w:val="18"/>
                <w:szCs w:val="18"/>
              </w:rPr>
            </w:pPr>
            <w:r>
              <w:rPr>
                <w:rFonts w:ascii="Times New Roman" w:hAnsi="Times New Roman"/>
                <w:sz w:val="18"/>
                <w:szCs w:val="18"/>
              </w:rPr>
              <w:t>5</w:t>
            </w:r>
          </w:p>
        </w:tc>
        <w:tc>
          <w:tcPr>
            <w:tcW w:w="976"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.656</w:t>
            </w:r>
          </w:p>
        </w:tc>
        <w:tc>
          <w:tcPr>
            <w:tcW w:w="1012"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13.110</w:t>
            </w:r>
          </w:p>
        </w:tc>
        <w:tc>
          <w:tcPr>
            <w:tcW w:w="977"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100.000</w:t>
            </w:r>
          </w:p>
        </w:tc>
        <w:tc>
          <w:tcPr>
            <w:tcW w:w="977"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1013"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6"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7"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1012"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c>
          <w:tcPr>
            <w:tcW w:w="977"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rFonts w:ascii="Times New Roman" w:hAnsi="Times New Roman"/>
                <w:sz w:val="18"/>
                <w:szCs w:val="18"/>
              </w:rPr>
            </w:pPr>
          </w:p>
        </w:tc>
      </w:tr>
    </w:tbl>
    <w:p w:rsidR="007A0453" w:rsidRDefault="007A0453">
      <w:pPr>
        <w:rPr>
          <w:b/>
          <w:bCs/>
          <w:sz w:val="18"/>
          <w:szCs w:val="18"/>
        </w:rPr>
      </w:pPr>
    </w:p>
    <w:p w:rsidR="007A0453" w:rsidRDefault="007A0453">
      <w:pPr>
        <w:rPr>
          <w:b/>
          <w:bCs/>
          <w:sz w:val="18"/>
          <w:szCs w:val="18"/>
        </w:rPr>
      </w:pPr>
      <w:bookmarkStart w:id="1" w:name="_GoBack"/>
      <w:bookmarkEnd w:id="1"/>
    </w:p>
    <w:p w:rsidR="007A0453" w:rsidRDefault="004E3E9B">
      <w:pPr>
        <w:jc w:val="center"/>
        <w:rPr>
          <w:b/>
          <w:bCs/>
          <w:sz w:val="18"/>
          <w:szCs w:val="18"/>
        </w:rPr>
      </w:pPr>
      <w:r>
        <w:rPr>
          <w:b/>
          <w:bCs/>
          <w:sz w:val="18"/>
          <w:szCs w:val="18"/>
        </w:rPr>
        <w:t>表</w:t>
      </w:r>
      <w:r>
        <w:rPr>
          <w:b/>
          <w:bCs/>
          <w:sz w:val="18"/>
          <w:szCs w:val="18"/>
        </w:rPr>
        <w:t xml:space="preserve">3 </w:t>
      </w:r>
      <w:r>
        <w:rPr>
          <w:b/>
          <w:bCs/>
          <w:sz w:val="18"/>
          <w:szCs w:val="18"/>
        </w:rPr>
        <w:t>成份矩阵</w:t>
      </w:r>
    </w:p>
    <w:tbl>
      <w:tblPr>
        <w:tblW w:w="6680" w:type="dxa"/>
        <w:jc w:val="center"/>
        <w:tblCellMar>
          <w:left w:w="10" w:type="dxa"/>
          <w:right w:w="10" w:type="dxa"/>
        </w:tblCellMar>
        <w:tblLook w:val="0000"/>
      </w:tblPr>
      <w:tblGrid>
        <w:gridCol w:w="2811"/>
        <w:gridCol w:w="1816"/>
        <w:gridCol w:w="2053"/>
      </w:tblGrid>
      <w:tr w:rsidR="007A0453">
        <w:tblPrEx>
          <w:tblCellMar>
            <w:top w:w="0" w:type="dxa"/>
            <w:bottom w:w="0" w:type="dxa"/>
          </w:tblCellMar>
        </w:tblPrEx>
        <w:trPr>
          <w:cantSplit/>
          <w:trHeight w:val="322"/>
          <w:tblHeader/>
          <w:jc w:val="center"/>
        </w:trPr>
        <w:tc>
          <w:tcPr>
            <w:tcW w:w="2811" w:type="dxa"/>
            <w:vMerge w:val="restart"/>
            <w:tcBorders>
              <w:top w:val="single" w:sz="12"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7A0453" w:rsidRDefault="007A0453">
            <w:pPr>
              <w:jc w:val="center"/>
              <w:rPr>
                <w:szCs w:val="21"/>
              </w:rPr>
            </w:pPr>
          </w:p>
        </w:tc>
        <w:tc>
          <w:tcPr>
            <w:tcW w:w="3869" w:type="dxa"/>
            <w:gridSpan w:val="2"/>
            <w:tcBorders>
              <w:top w:val="single" w:sz="12"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szCs w:val="21"/>
              </w:rPr>
            </w:pPr>
            <w:r>
              <w:rPr>
                <w:sz w:val="18"/>
                <w:szCs w:val="18"/>
              </w:rPr>
              <w:t xml:space="preserve">      </w:t>
            </w:r>
            <w:r>
              <w:rPr>
                <w:sz w:val="18"/>
                <w:szCs w:val="18"/>
              </w:rPr>
              <w:t>成份</w:t>
            </w:r>
          </w:p>
        </w:tc>
      </w:tr>
      <w:tr w:rsidR="007A0453">
        <w:tblPrEx>
          <w:tblCellMar>
            <w:top w:w="0" w:type="dxa"/>
            <w:bottom w:w="0" w:type="dxa"/>
          </w:tblCellMar>
        </w:tblPrEx>
        <w:trPr>
          <w:cantSplit/>
          <w:trHeight w:val="312"/>
          <w:tblHeader/>
          <w:jc w:val="center"/>
        </w:trPr>
        <w:tc>
          <w:tcPr>
            <w:tcW w:w="2811" w:type="dxa"/>
            <w:vMerge/>
            <w:tcBorders>
              <w:top w:val="none" w:sz="0"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center"/>
          </w:tcPr>
          <w:p w:rsidR="007A0453" w:rsidRDefault="007A0453"/>
        </w:tc>
        <w:tc>
          <w:tcPr>
            <w:tcW w:w="1816"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1</w:t>
            </w:r>
          </w:p>
        </w:tc>
        <w:tc>
          <w:tcPr>
            <w:tcW w:w="2053" w:type="dxa"/>
            <w:tcBorders>
              <w:top w:val="single" w:sz="4" w:space="0" w:color="000000"/>
              <w:left w:val="none" w:sz="0" w:space="0" w:color="000000"/>
              <w:bottom w:val="single" w:sz="4" w:space="0" w:color="000000"/>
              <w:right w:val="none" w:sz="0" w:space="0" w:color="000000"/>
            </w:tcBorders>
            <w:shd w:val="clear" w:color="000000" w:fill="FFFFFF"/>
            <w:tcMar>
              <w:top w:w="0" w:type="dxa"/>
              <w:left w:w="0" w:type="dxa"/>
              <w:bottom w:w="0" w:type="dxa"/>
              <w:right w:w="0" w:type="dxa"/>
            </w:tcMar>
            <w:vAlign w:val="bottom"/>
          </w:tcPr>
          <w:p w:rsidR="007A0453" w:rsidRDefault="004E3E9B">
            <w:pPr>
              <w:spacing w:line="320" w:lineRule="atLeast"/>
              <w:ind w:left="60" w:right="60"/>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2</w:t>
            </w:r>
          </w:p>
        </w:tc>
      </w:tr>
      <w:tr w:rsidR="007A0453">
        <w:tblPrEx>
          <w:tblCellMar>
            <w:top w:w="0" w:type="dxa"/>
            <w:bottom w:w="0" w:type="dxa"/>
          </w:tblCellMar>
        </w:tblPrEx>
        <w:trPr>
          <w:cantSplit/>
          <w:trHeight w:val="312"/>
          <w:tblHeader/>
          <w:jc w:val="center"/>
        </w:trPr>
        <w:tc>
          <w:tcPr>
            <w:tcW w:w="2811"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sz w:val="18"/>
                <w:szCs w:val="18"/>
              </w:rPr>
            </w:pPr>
            <w:r>
              <w:rPr>
                <w:sz w:val="18"/>
                <w:szCs w:val="18"/>
              </w:rPr>
              <w:t>感知的易用性</w:t>
            </w:r>
          </w:p>
        </w:tc>
        <w:tc>
          <w:tcPr>
            <w:tcW w:w="1816"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.555</w:t>
            </w:r>
          </w:p>
        </w:tc>
        <w:tc>
          <w:tcPr>
            <w:tcW w:w="2053" w:type="dxa"/>
            <w:tcBorders>
              <w:top w:val="single" w:sz="4"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-.579</w:t>
            </w:r>
          </w:p>
        </w:tc>
      </w:tr>
      <w:tr w:rsidR="007A0453">
        <w:tblPrEx>
          <w:tblCellMar>
            <w:top w:w="0" w:type="dxa"/>
            <w:bottom w:w="0" w:type="dxa"/>
          </w:tblCellMar>
        </w:tblPrEx>
        <w:trPr>
          <w:cantSplit/>
          <w:trHeight w:val="294"/>
          <w:tblHeader/>
          <w:jc w:val="center"/>
        </w:trPr>
        <w:tc>
          <w:tcPr>
            <w:tcW w:w="2811"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sz w:val="18"/>
                <w:szCs w:val="18"/>
              </w:rPr>
            </w:pPr>
            <w:r>
              <w:rPr>
                <w:sz w:val="18"/>
                <w:szCs w:val="18"/>
              </w:rPr>
              <w:t>便利条件</w:t>
            </w:r>
          </w:p>
        </w:tc>
        <w:tc>
          <w:tcPr>
            <w:tcW w:w="181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.535</w:t>
            </w:r>
          </w:p>
        </w:tc>
        <w:tc>
          <w:tcPr>
            <w:tcW w:w="205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-.382</w:t>
            </w:r>
          </w:p>
        </w:tc>
      </w:tr>
      <w:tr w:rsidR="007A0453">
        <w:tblPrEx>
          <w:tblCellMar>
            <w:top w:w="0" w:type="dxa"/>
            <w:bottom w:w="0" w:type="dxa"/>
          </w:tblCellMar>
        </w:tblPrEx>
        <w:trPr>
          <w:cantSplit/>
          <w:trHeight w:val="294"/>
          <w:tblHeader/>
          <w:jc w:val="center"/>
        </w:trPr>
        <w:tc>
          <w:tcPr>
            <w:tcW w:w="2811"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sz w:val="18"/>
                <w:szCs w:val="18"/>
              </w:rPr>
            </w:pPr>
            <w:r>
              <w:rPr>
                <w:sz w:val="18"/>
                <w:szCs w:val="18"/>
              </w:rPr>
              <w:t>个人差异</w:t>
            </w:r>
          </w:p>
        </w:tc>
        <w:tc>
          <w:tcPr>
            <w:tcW w:w="181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.400</w:t>
            </w:r>
          </w:p>
        </w:tc>
        <w:tc>
          <w:tcPr>
            <w:tcW w:w="205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.671</w:t>
            </w:r>
          </w:p>
        </w:tc>
      </w:tr>
      <w:tr w:rsidR="007A0453">
        <w:tblPrEx>
          <w:tblCellMar>
            <w:top w:w="0" w:type="dxa"/>
            <w:bottom w:w="0" w:type="dxa"/>
          </w:tblCellMar>
        </w:tblPrEx>
        <w:trPr>
          <w:cantSplit/>
          <w:trHeight w:val="294"/>
          <w:tblHeader/>
          <w:jc w:val="center"/>
        </w:trPr>
        <w:tc>
          <w:tcPr>
            <w:tcW w:w="2811"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sz w:val="18"/>
                <w:szCs w:val="18"/>
              </w:rPr>
            </w:pPr>
            <w:r>
              <w:rPr>
                <w:sz w:val="18"/>
                <w:szCs w:val="18"/>
              </w:rPr>
              <w:t>社会影响</w:t>
            </w:r>
          </w:p>
        </w:tc>
        <w:tc>
          <w:tcPr>
            <w:tcW w:w="1816"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.711</w:t>
            </w:r>
          </w:p>
        </w:tc>
        <w:tc>
          <w:tcPr>
            <w:tcW w:w="2053" w:type="dxa"/>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.083</w:t>
            </w:r>
          </w:p>
        </w:tc>
      </w:tr>
      <w:tr w:rsidR="007A0453">
        <w:tblPrEx>
          <w:tblCellMar>
            <w:top w:w="0" w:type="dxa"/>
            <w:bottom w:w="0" w:type="dxa"/>
          </w:tblCellMar>
        </w:tblPrEx>
        <w:trPr>
          <w:cantSplit/>
          <w:trHeight w:val="455"/>
          <w:tblHeader/>
          <w:jc w:val="center"/>
        </w:trPr>
        <w:tc>
          <w:tcPr>
            <w:tcW w:w="2811"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rPr>
                <w:sz w:val="18"/>
                <w:szCs w:val="18"/>
              </w:rPr>
            </w:pPr>
            <w:r>
              <w:rPr>
                <w:sz w:val="18"/>
                <w:szCs w:val="18"/>
              </w:rPr>
              <w:t>电商信任程度</w:t>
            </w:r>
          </w:p>
        </w:tc>
        <w:tc>
          <w:tcPr>
            <w:tcW w:w="1816"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.635</w:t>
            </w:r>
          </w:p>
        </w:tc>
        <w:tc>
          <w:tcPr>
            <w:tcW w:w="2053" w:type="dxa"/>
            <w:tcBorders>
              <w:top w:val="none" w:sz="0" w:space="0" w:color="000000"/>
              <w:left w:val="none" w:sz="0" w:space="0" w:color="000000"/>
              <w:bottom w:val="single" w:sz="12" w:space="0" w:color="000000"/>
              <w:right w:val="none" w:sz="0" w:space="0" w:color="000000"/>
            </w:tcBorders>
            <w:shd w:val="clear" w:color="000000" w:fill="FFFFFF"/>
            <w:tcMar>
              <w:top w:w="0" w:type="dxa"/>
              <w:left w:w="0" w:type="dxa"/>
              <w:bottom w:w="0" w:type="dxa"/>
              <w:right w:w="0" w:type="dxa"/>
            </w:tcMar>
          </w:tcPr>
          <w:p w:rsidR="007A0453" w:rsidRDefault="004E3E9B">
            <w:pPr>
              <w:spacing w:line="320" w:lineRule="atLeast"/>
              <w:ind w:left="60" w:right="60"/>
              <w:jc w:val="right"/>
              <w:rPr>
                <w:rFonts w:ascii="Times New Roman" w:hAnsi="Times New Roman"/>
                <w:sz w:val="18"/>
                <w:szCs w:val="18"/>
              </w:rPr>
            </w:pPr>
            <w:r>
              <w:rPr>
                <w:rFonts w:ascii="Times New Roman" w:hAnsi="Times New Roman"/>
                <w:sz w:val="18"/>
                <w:szCs w:val="18"/>
              </w:rPr>
              <w:t>.312</w:t>
            </w:r>
          </w:p>
        </w:tc>
      </w:tr>
    </w:tbl>
    <w:p w:rsidR="007A0453" w:rsidRDefault="007A0453">
      <w:pPr>
        <w:spacing w:line="400" w:lineRule="atLeast"/>
        <w:rPr>
          <w:rFonts w:ascii="Times New Roman" w:eastAsia="Times New Roman" w:hAnsi="Times New Roman"/>
          <w:sz w:val="24"/>
        </w:rPr>
      </w:pPr>
    </w:p>
    <w:p w:rsidR="007A0453" w:rsidRDefault="004E3E9B">
      <w:pPr>
        <w:spacing w:line="400" w:lineRule="atLeast"/>
        <w:jc w:val="center"/>
        <w:rPr>
          <w:sz w:val="18"/>
          <w:szCs w:val="18"/>
        </w:rPr>
      </w:pPr>
      <w:r>
        <w:rPr>
          <w:b/>
          <w:bCs/>
          <w:sz w:val="18"/>
          <w:szCs w:val="18"/>
        </w:rPr>
        <w:t>表</w:t>
      </w:r>
      <w:r>
        <w:rPr>
          <w:b/>
          <w:bCs/>
          <w:sz w:val="18"/>
          <w:szCs w:val="18"/>
        </w:rPr>
        <w:t xml:space="preserve">4 </w:t>
      </w:r>
      <w:r>
        <w:rPr>
          <w:b/>
          <w:bCs/>
          <w:sz w:val="18"/>
          <w:szCs w:val="18"/>
        </w:rPr>
        <w:t>线性组合中的系数</w:t>
      </w:r>
    </w:p>
    <w:tbl>
      <w:tblPr>
        <w:tblW w:w="7300" w:type="dxa"/>
        <w:jc w:val="center"/>
        <w:tblCellMar>
          <w:left w:w="10" w:type="dxa"/>
          <w:right w:w="10" w:type="dxa"/>
        </w:tblCellMar>
        <w:tblLook w:val="0000"/>
      </w:tblPr>
      <w:tblGrid>
        <w:gridCol w:w="3326"/>
        <w:gridCol w:w="2961"/>
        <w:gridCol w:w="1013"/>
      </w:tblGrid>
      <w:tr w:rsidR="007A0453">
        <w:tblPrEx>
          <w:tblCellMar>
            <w:top w:w="0" w:type="dxa"/>
            <w:bottom w:w="0" w:type="dxa"/>
          </w:tblCellMar>
        </w:tblPrEx>
        <w:trPr>
          <w:cantSplit/>
          <w:trHeight w:val="411"/>
          <w:jc w:val="center"/>
        </w:trPr>
        <w:tc>
          <w:tcPr>
            <w:tcW w:w="3326" w:type="dxa"/>
            <w:tcBorders>
              <w:top w:val="single" w:sz="12"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tcPr>
          <w:p w:rsidR="007A0453" w:rsidRDefault="007A0453">
            <w:pPr>
              <w:jc w:val="left"/>
              <w:rPr>
                <w:rFonts w:ascii="宋体" w:eastAsia="宋体" w:hAnsi="宋体" w:cs="宋体"/>
                <w:sz w:val="18"/>
                <w:szCs w:val="18"/>
              </w:rPr>
            </w:pPr>
          </w:p>
        </w:tc>
        <w:tc>
          <w:tcPr>
            <w:tcW w:w="3974" w:type="dxa"/>
            <w:gridSpan w:val="2"/>
            <w:tcBorders>
              <w:top w:val="single" w:sz="12" w:space="0" w:color="000000"/>
              <w:left w:val="none" w:sz="0" w:space="0" w:color="000000"/>
              <w:bottom w:val="single" w:sz="4" w:space="0" w:color="000000"/>
              <w:right w:val="none" w:sz="0" w:space="0" w:color="000000"/>
            </w:tcBorders>
            <w:shd w:val="clear" w:color="000000" w:fill="FFFFFF"/>
            <w:tcMar>
              <w:top w:w="15" w:type="dxa"/>
              <w:left w:w="15" w:type="dxa"/>
              <w:bottom w:w="15" w:type="dxa"/>
              <w:right w:w="15" w:type="dxa"/>
            </w:tcMar>
          </w:tcPr>
          <w:p w:rsidR="007A0453" w:rsidRDefault="004E3E9B">
            <w:pPr>
              <w:widowControl/>
              <w:jc w:val="center"/>
              <w:rPr>
                <w:rFonts w:ascii="宋体" w:eastAsia="宋体" w:hAnsi="宋体" w:cs="宋体"/>
                <w:sz w:val="18"/>
                <w:szCs w:val="18"/>
              </w:rPr>
            </w:pPr>
            <w:r>
              <w:rPr>
                <w:rFonts w:ascii="宋体" w:eastAsia="宋体" w:hAnsi="宋体" w:cs="宋体" w:hint="eastAsia"/>
                <w:sz w:val="18"/>
                <w:szCs w:val="18"/>
              </w:rPr>
              <w:t>成份</w:t>
            </w:r>
          </w:p>
        </w:tc>
      </w:tr>
      <w:tr w:rsidR="007A0453">
        <w:tblPrEx>
          <w:tblCellMar>
            <w:top w:w="0" w:type="dxa"/>
            <w:bottom w:w="0" w:type="dxa"/>
          </w:tblCellMar>
        </w:tblPrEx>
        <w:trPr>
          <w:cantSplit/>
          <w:trHeight w:val="417"/>
          <w:jc w:val="center"/>
        </w:trPr>
        <w:tc>
          <w:tcPr>
            <w:tcW w:w="3326"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7A0453" w:rsidRDefault="007A0453">
            <w:pPr>
              <w:rPr>
                <w:rFonts w:ascii="宋体" w:eastAsia="宋体" w:hAnsi="宋体" w:cs="宋体"/>
                <w:sz w:val="18"/>
                <w:szCs w:val="18"/>
              </w:rPr>
            </w:pPr>
          </w:p>
        </w:tc>
        <w:tc>
          <w:tcPr>
            <w:tcW w:w="2961"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7A0453" w:rsidRDefault="004E3E9B">
            <w:pPr>
              <w:widowControl/>
              <w:rPr>
                <w:rFonts w:ascii="Times New Roman" w:eastAsia="宋体" w:hAnsi="Times New Roman"/>
                <w:sz w:val="18"/>
                <w:szCs w:val="18"/>
              </w:rPr>
            </w:pPr>
            <w:r>
              <w:rPr>
                <w:rFonts w:ascii="Times New Roman" w:eastAsia="宋体" w:hAnsi="Times New Roman" w:hint="eastAsia"/>
                <w:sz w:val="18"/>
                <w:szCs w:val="18"/>
              </w:rPr>
              <w:t xml:space="preserve">  </w:t>
            </w:r>
            <w:r>
              <w:rPr>
                <w:rFonts w:ascii="Times New Roman" w:eastAsia="宋体" w:hAnsi="Times New Roman"/>
                <w:sz w:val="18"/>
                <w:szCs w:val="18"/>
              </w:rPr>
              <w:t>1</w:t>
            </w:r>
          </w:p>
        </w:tc>
        <w:tc>
          <w:tcPr>
            <w:tcW w:w="1013"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7A0453" w:rsidRDefault="004E3E9B">
            <w:pPr>
              <w:widowControl/>
              <w:rPr>
                <w:rFonts w:ascii="Times New Roman" w:eastAsia="宋体" w:hAnsi="Times New Roman"/>
                <w:sz w:val="18"/>
                <w:szCs w:val="18"/>
              </w:rPr>
            </w:pPr>
            <w:r>
              <w:rPr>
                <w:rFonts w:ascii="Times New Roman" w:eastAsia="宋体" w:hAnsi="Times New Roman" w:hint="eastAsia"/>
                <w:sz w:val="18"/>
                <w:szCs w:val="18"/>
              </w:rPr>
              <w:t xml:space="preserve">  </w:t>
            </w:r>
            <w:r>
              <w:rPr>
                <w:rFonts w:ascii="Times New Roman" w:eastAsia="宋体" w:hAnsi="Times New Roman"/>
                <w:sz w:val="18"/>
                <w:szCs w:val="18"/>
              </w:rPr>
              <w:t>2</w:t>
            </w:r>
            <w:r>
              <w:rPr>
                <w:rFonts w:ascii="Times New Roman" w:eastAsia="宋体" w:hAnsi="Times New Roman" w:hint="eastAsia"/>
                <w:sz w:val="18"/>
                <w:szCs w:val="18"/>
              </w:rPr>
              <w:t xml:space="preserve"> </w:t>
            </w:r>
          </w:p>
        </w:tc>
      </w:tr>
      <w:tr w:rsidR="007A0453">
        <w:tblPrEx>
          <w:tblCellMar>
            <w:top w:w="0" w:type="dxa"/>
            <w:bottom w:w="0" w:type="dxa"/>
          </w:tblCellMar>
        </w:tblPrEx>
        <w:trPr>
          <w:cantSplit/>
          <w:trHeight w:val="420"/>
          <w:jc w:val="center"/>
        </w:trPr>
        <w:tc>
          <w:tcPr>
            <w:tcW w:w="3326" w:type="dxa"/>
            <w:tcBorders>
              <w:top w:val="single" w:sz="4"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tcPr>
          <w:p w:rsidR="007A0453" w:rsidRDefault="004E3E9B">
            <w:pPr>
              <w:widowControl/>
              <w:jc w:val="left"/>
              <w:rPr>
                <w:rFonts w:ascii="宋体" w:eastAsia="宋体" w:hAnsi="宋体" w:cs="宋体"/>
                <w:sz w:val="18"/>
                <w:szCs w:val="18"/>
              </w:rPr>
            </w:pPr>
            <w:r>
              <w:rPr>
                <w:rFonts w:ascii="宋体" w:eastAsia="宋体" w:hAnsi="宋体" w:cs="宋体" w:hint="eastAsia"/>
                <w:sz w:val="18"/>
                <w:szCs w:val="18"/>
              </w:rPr>
              <w:t>技术复杂性</w:t>
            </w:r>
          </w:p>
        </w:tc>
        <w:tc>
          <w:tcPr>
            <w:tcW w:w="2961"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0.430 </w:t>
            </w:r>
          </w:p>
        </w:tc>
        <w:tc>
          <w:tcPr>
            <w:tcW w:w="1013"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-0.449 </w:t>
            </w:r>
          </w:p>
        </w:tc>
      </w:tr>
      <w:tr w:rsidR="007A0453">
        <w:tblPrEx>
          <w:tblCellMar>
            <w:top w:w="0" w:type="dxa"/>
            <w:bottom w:w="0" w:type="dxa"/>
          </w:tblCellMar>
        </w:tblPrEx>
        <w:trPr>
          <w:cantSplit/>
          <w:trHeight w:val="359"/>
          <w:jc w:val="center"/>
        </w:trPr>
        <w:tc>
          <w:tcPr>
            <w:tcW w:w="3326"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tcPr>
          <w:p w:rsidR="007A0453" w:rsidRDefault="004E3E9B">
            <w:pPr>
              <w:widowControl/>
              <w:jc w:val="left"/>
              <w:rPr>
                <w:rFonts w:ascii="宋体" w:eastAsia="宋体" w:hAnsi="宋体" w:cs="宋体"/>
                <w:sz w:val="18"/>
                <w:szCs w:val="18"/>
              </w:rPr>
            </w:pPr>
            <w:r>
              <w:rPr>
                <w:rFonts w:ascii="宋体" w:eastAsia="宋体" w:hAnsi="宋体" w:cs="宋体" w:hint="eastAsia"/>
                <w:sz w:val="18"/>
                <w:szCs w:val="18"/>
              </w:rPr>
              <w:t>便利条件</w:t>
            </w:r>
          </w:p>
        </w:tc>
        <w:tc>
          <w:tcPr>
            <w:tcW w:w="2961"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0.526 </w:t>
            </w:r>
          </w:p>
        </w:tc>
        <w:tc>
          <w:tcPr>
            <w:tcW w:w="1013"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-0.375 </w:t>
            </w:r>
          </w:p>
        </w:tc>
      </w:tr>
      <w:tr w:rsidR="007A0453">
        <w:tblPrEx>
          <w:tblCellMar>
            <w:top w:w="0" w:type="dxa"/>
            <w:bottom w:w="0" w:type="dxa"/>
          </w:tblCellMar>
        </w:tblPrEx>
        <w:trPr>
          <w:cantSplit/>
          <w:trHeight w:val="359"/>
          <w:jc w:val="center"/>
        </w:trPr>
        <w:tc>
          <w:tcPr>
            <w:tcW w:w="3326"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tcPr>
          <w:p w:rsidR="007A0453" w:rsidRDefault="004E3E9B">
            <w:pPr>
              <w:widowControl/>
              <w:jc w:val="left"/>
              <w:rPr>
                <w:rFonts w:ascii="宋体" w:eastAsia="宋体" w:hAnsi="宋体" w:cs="宋体"/>
                <w:sz w:val="18"/>
                <w:szCs w:val="18"/>
              </w:rPr>
            </w:pPr>
            <w:r>
              <w:rPr>
                <w:rFonts w:ascii="宋体" w:eastAsia="宋体" w:hAnsi="宋体" w:cs="宋体" w:hint="eastAsia"/>
                <w:sz w:val="18"/>
                <w:szCs w:val="18"/>
              </w:rPr>
              <w:t>个人差异</w:t>
            </w:r>
          </w:p>
        </w:tc>
        <w:tc>
          <w:tcPr>
            <w:tcW w:w="2961"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0.418 </w:t>
            </w:r>
          </w:p>
        </w:tc>
        <w:tc>
          <w:tcPr>
            <w:tcW w:w="1013"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0.701 </w:t>
            </w:r>
          </w:p>
        </w:tc>
      </w:tr>
      <w:tr w:rsidR="007A0453">
        <w:tblPrEx>
          <w:tblCellMar>
            <w:top w:w="0" w:type="dxa"/>
            <w:bottom w:w="0" w:type="dxa"/>
          </w:tblCellMar>
        </w:tblPrEx>
        <w:trPr>
          <w:cantSplit/>
          <w:trHeight w:val="359"/>
          <w:jc w:val="center"/>
        </w:trPr>
        <w:tc>
          <w:tcPr>
            <w:tcW w:w="3326"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tcPr>
          <w:p w:rsidR="007A0453" w:rsidRDefault="004E3E9B">
            <w:pPr>
              <w:widowControl/>
              <w:jc w:val="left"/>
              <w:rPr>
                <w:rFonts w:ascii="宋体" w:eastAsia="宋体" w:hAnsi="宋体" w:cs="宋体"/>
                <w:sz w:val="18"/>
                <w:szCs w:val="18"/>
              </w:rPr>
            </w:pPr>
            <w:r>
              <w:rPr>
                <w:rFonts w:ascii="宋体" w:eastAsia="宋体" w:hAnsi="宋体" w:cs="宋体" w:hint="eastAsia"/>
                <w:sz w:val="18"/>
                <w:szCs w:val="18"/>
              </w:rPr>
              <w:t>社会影响</w:t>
            </w:r>
          </w:p>
        </w:tc>
        <w:tc>
          <w:tcPr>
            <w:tcW w:w="2961"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0.834 </w:t>
            </w:r>
          </w:p>
        </w:tc>
        <w:tc>
          <w:tcPr>
            <w:tcW w:w="1013"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0.097 </w:t>
            </w:r>
          </w:p>
        </w:tc>
      </w:tr>
      <w:tr w:rsidR="007A0453">
        <w:tblPrEx>
          <w:tblCellMar>
            <w:top w:w="0" w:type="dxa"/>
            <w:bottom w:w="0" w:type="dxa"/>
          </w:tblCellMar>
        </w:tblPrEx>
        <w:trPr>
          <w:cantSplit/>
          <w:trHeight w:val="551"/>
          <w:jc w:val="center"/>
        </w:trPr>
        <w:tc>
          <w:tcPr>
            <w:tcW w:w="3326" w:type="dxa"/>
            <w:tcBorders>
              <w:top w:val="none" w:sz="0" w:space="0" w:color="000000"/>
              <w:left w:val="none" w:sz="0" w:space="0" w:color="000000"/>
              <w:bottom w:val="single" w:sz="12" w:space="0" w:color="000000"/>
              <w:right w:val="none" w:sz="0" w:space="0" w:color="000000"/>
            </w:tcBorders>
            <w:shd w:val="clear" w:color="000000" w:fill="FFFFFF"/>
            <w:tcMar>
              <w:top w:w="15" w:type="dxa"/>
              <w:left w:w="15" w:type="dxa"/>
              <w:bottom w:w="15" w:type="dxa"/>
              <w:right w:w="15" w:type="dxa"/>
            </w:tcMar>
          </w:tcPr>
          <w:p w:rsidR="007A0453" w:rsidRDefault="004E3E9B">
            <w:pPr>
              <w:widowControl/>
              <w:jc w:val="left"/>
              <w:rPr>
                <w:rFonts w:ascii="宋体" w:eastAsia="宋体" w:hAnsi="宋体" w:cs="宋体"/>
                <w:sz w:val="18"/>
                <w:szCs w:val="18"/>
              </w:rPr>
            </w:pPr>
            <w:r>
              <w:rPr>
                <w:rFonts w:ascii="宋体" w:eastAsia="宋体" w:hAnsi="宋体" w:cs="宋体" w:hint="eastAsia"/>
                <w:sz w:val="18"/>
                <w:szCs w:val="18"/>
              </w:rPr>
              <w:t>电商信任程度</w:t>
            </w:r>
          </w:p>
        </w:tc>
        <w:tc>
          <w:tcPr>
            <w:tcW w:w="2961" w:type="dxa"/>
            <w:tcBorders>
              <w:top w:val="none" w:sz="0" w:space="0" w:color="000000"/>
              <w:left w:val="none" w:sz="0" w:space="0" w:color="000000"/>
              <w:bottom w:val="single" w:sz="12"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0.784 </w:t>
            </w:r>
          </w:p>
        </w:tc>
        <w:tc>
          <w:tcPr>
            <w:tcW w:w="1013" w:type="dxa"/>
            <w:tcBorders>
              <w:top w:val="none" w:sz="0" w:space="0" w:color="000000"/>
              <w:left w:val="none" w:sz="0" w:space="0" w:color="000000"/>
              <w:bottom w:val="single" w:sz="12" w:space="0" w:color="000000"/>
              <w:right w:val="none" w:sz="0" w:space="0" w:color="000000"/>
            </w:tcBorders>
            <w:tcMar>
              <w:top w:w="15" w:type="dxa"/>
              <w:left w:w="15" w:type="dxa"/>
              <w:bottom w:w="15" w:type="dxa"/>
              <w:right w:w="15" w:type="dxa"/>
            </w:tcMar>
            <w:vAlign w:val="center"/>
          </w:tcPr>
          <w:p w:rsidR="007A0453" w:rsidRDefault="004E3E9B">
            <w:pPr>
              <w:widowControl/>
              <w:jc w:val="left"/>
              <w:rPr>
                <w:rFonts w:ascii="Times New Roman" w:eastAsia="宋体" w:hAnsi="Times New Roman"/>
                <w:sz w:val="18"/>
                <w:szCs w:val="18"/>
              </w:rPr>
            </w:pPr>
            <w:r>
              <w:rPr>
                <w:rFonts w:ascii="Times New Roman" w:eastAsia="宋体" w:hAnsi="Times New Roman"/>
                <w:sz w:val="18"/>
                <w:szCs w:val="18"/>
              </w:rPr>
              <w:t xml:space="preserve">0.385 </w:t>
            </w:r>
          </w:p>
        </w:tc>
      </w:tr>
    </w:tbl>
    <w:p w:rsidR="007A0453" w:rsidRDefault="007A0453">
      <w:pPr>
        <w:jc w:val="left"/>
        <w:rPr>
          <w:rFonts w:ascii="宋体" w:eastAsia="宋体" w:hAnsi="宋体" w:cs="宋体"/>
          <w:b/>
          <w:sz w:val="15"/>
          <w:szCs w:val="15"/>
        </w:rPr>
      </w:pPr>
    </w:p>
    <w:p w:rsidR="007A0453" w:rsidRDefault="004E3E9B">
      <w:pPr>
        <w:jc w:val="center"/>
        <w:rPr>
          <w:rFonts w:ascii="宋体" w:eastAsia="宋体" w:hAnsi="宋体" w:cs="宋体"/>
          <w:b/>
          <w:sz w:val="15"/>
          <w:szCs w:val="15"/>
        </w:rPr>
      </w:pPr>
      <w:r>
        <w:rPr>
          <w:rFonts w:ascii="宋体" w:eastAsia="宋体" w:hAnsi="宋体" w:cs="宋体" w:hint="eastAsia"/>
          <w:b/>
          <w:sz w:val="18"/>
          <w:szCs w:val="18"/>
        </w:rPr>
        <w:t>表</w:t>
      </w:r>
      <w:r>
        <w:rPr>
          <w:rFonts w:ascii="宋体" w:eastAsia="宋体" w:hAnsi="宋体" w:cs="宋体" w:hint="eastAsia"/>
          <w:b/>
          <w:sz w:val="18"/>
          <w:szCs w:val="18"/>
        </w:rPr>
        <w:t xml:space="preserve">5 </w:t>
      </w:r>
      <w:r>
        <w:rPr>
          <w:rFonts w:ascii="宋体" w:eastAsia="宋体" w:hAnsi="宋体" w:cs="宋体" w:hint="eastAsia"/>
          <w:b/>
          <w:sz w:val="18"/>
          <w:szCs w:val="18"/>
        </w:rPr>
        <w:t>指标权重</w:t>
      </w:r>
    </w:p>
    <w:tbl>
      <w:tblPr>
        <w:tblW w:w="9240" w:type="dxa"/>
        <w:jc w:val="center"/>
        <w:tblCellMar>
          <w:left w:w="10" w:type="dxa"/>
          <w:right w:w="10" w:type="dxa"/>
        </w:tblCellMar>
        <w:tblLook w:val="0000"/>
      </w:tblPr>
      <w:tblGrid>
        <w:gridCol w:w="2037"/>
        <w:gridCol w:w="2025"/>
        <w:gridCol w:w="1967"/>
        <w:gridCol w:w="1735"/>
        <w:gridCol w:w="1476"/>
      </w:tblGrid>
      <w:tr w:rsidR="007A0453">
        <w:tblPrEx>
          <w:tblCellMar>
            <w:top w:w="0" w:type="dxa"/>
            <w:bottom w:w="0" w:type="dxa"/>
          </w:tblCellMar>
        </w:tblPrEx>
        <w:trPr>
          <w:trHeight w:val="458"/>
          <w:jc w:val="center"/>
        </w:trPr>
        <w:tc>
          <w:tcPr>
            <w:tcW w:w="2037" w:type="dxa"/>
            <w:tcBorders>
              <w:top w:val="single" w:sz="12"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7A0453" w:rsidRDefault="004E3E9B">
            <w:pPr>
              <w:widowControl/>
              <w:jc w:val="center"/>
              <w:rPr>
                <w:sz w:val="18"/>
                <w:szCs w:val="18"/>
              </w:rPr>
            </w:pPr>
            <w:r>
              <w:rPr>
                <w:sz w:val="18"/>
                <w:szCs w:val="18"/>
              </w:rPr>
              <w:t>技术复杂性</w:t>
            </w:r>
          </w:p>
        </w:tc>
        <w:tc>
          <w:tcPr>
            <w:tcW w:w="2025" w:type="dxa"/>
            <w:tcBorders>
              <w:top w:val="single" w:sz="12"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7A0453" w:rsidRDefault="004E3E9B">
            <w:pPr>
              <w:widowControl/>
              <w:jc w:val="center"/>
              <w:rPr>
                <w:sz w:val="18"/>
                <w:szCs w:val="18"/>
              </w:rPr>
            </w:pPr>
            <w:r>
              <w:rPr>
                <w:sz w:val="18"/>
                <w:szCs w:val="18"/>
              </w:rPr>
              <w:t>便利条件</w:t>
            </w:r>
          </w:p>
        </w:tc>
        <w:tc>
          <w:tcPr>
            <w:tcW w:w="1967" w:type="dxa"/>
            <w:tcBorders>
              <w:top w:val="single" w:sz="12"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7A0453" w:rsidRDefault="004E3E9B">
            <w:pPr>
              <w:widowControl/>
              <w:jc w:val="center"/>
              <w:rPr>
                <w:sz w:val="18"/>
                <w:szCs w:val="18"/>
              </w:rPr>
            </w:pPr>
            <w:r>
              <w:rPr>
                <w:sz w:val="18"/>
                <w:szCs w:val="18"/>
              </w:rPr>
              <w:t>个人差异</w:t>
            </w:r>
          </w:p>
        </w:tc>
        <w:tc>
          <w:tcPr>
            <w:tcW w:w="1735" w:type="dxa"/>
            <w:tcBorders>
              <w:top w:val="single" w:sz="12"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7A0453" w:rsidRDefault="004E3E9B">
            <w:pPr>
              <w:widowControl/>
              <w:jc w:val="center"/>
              <w:rPr>
                <w:sz w:val="18"/>
                <w:szCs w:val="18"/>
              </w:rPr>
            </w:pPr>
            <w:r>
              <w:rPr>
                <w:sz w:val="18"/>
                <w:szCs w:val="18"/>
              </w:rPr>
              <w:t>社会影响</w:t>
            </w:r>
          </w:p>
        </w:tc>
        <w:tc>
          <w:tcPr>
            <w:tcW w:w="1476" w:type="dxa"/>
            <w:tcBorders>
              <w:top w:val="single" w:sz="12"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7A0453" w:rsidRDefault="004E3E9B">
            <w:pPr>
              <w:widowControl/>
              <w:jc w:val="center"/>
              <w:rPr>
                <w:sz w:val="18"/>
                <w:szCs w:val="18"/>
              </w:rPr>
            </w:pPr>
            <w:r>
              <w:rPr>
                <w:sz w:val="18"/>
                <w:szCs w:val="18"/>
              </w:rPr>
              <w:t>电商信任程度</w:t>
            </w:r>
          </w:p>
        </w:tc>
      </w:tr>
      <w:tr w:rsidR="007A0453">
        <w:tblPrEx>
          <w:tblCellMar>
            <w:top w:w="0" w:type="dxa"/>
            <w:bottom w:w="0" w:type="dxa"/>
          </w:tblCellMar>
        </w:tblPrEx>
        <w:trPr>
          <w:trHeight w:val="464"/>
          <w:jc w:val="center"/>
        </w:trPr>
        <w:tc>
          <w:tcPr>
            <w:tcW w:w="2037" w:type="dxa"/>
            <w:tcBorders>
              <w:top w:val="single" w:sz="4" w:space="0" w:color="000000"/>
              <w:left w:val="none" w:sz="0" w:space="0" w:color="000000"/>
              <w:bottom w:val="single" w:sz="12" w:space="0" w:color="000000"/>
              <w:right w:val="none" w:sz="0" w:space="0" w:color="000000"/>
            </w:tcBorders>
            <w:tcMar>
              <w:top w:w="15" w:type="dxa"/>
              <w:left w:w="15" w:type="dxa"/>
              <w:bottom w:w="15" w:type="dxa"/>
              <w:right w:w="15" w:type="dxa"/>
            </w:tcMar>
            <w:vAlign w:val="center"/>
          </w:tcPr>
          <w:p w:rsidR="007A0453" w:rsidRDefault="004E3E9B">
            <w:pPr>
              <w:widowControl/>
              <w:jc w:val="center"/>
              <w:rPr>
                <w:rFonts w:ascii="Times New Roman" w:hAnsi="Times New Roman"/>
                <w:sz w:val="18"/>
                <w:szCs w:val="18"/>
              </w:rPr>
            </w:pPr>
            <w:r>
              <w:rPr>
                <w:rFonts w:ascii="Times New Roman" w:hAnsi="Times New Roman"/>
                <w:sz w:val="18"/>
                <w:szCs w:val="18"/>
              </w:rPr>
              <w:t>0.046</w:t>
            </w:r>
          </w:p>
        </w:tc>
        <w:tc>
          <w:tcPr>
            <w:tcW w:w="2025" w:type="dxa"/>
            <w:tcBorders>
              <w:top w:val="single" w:sz="4" w:space="0" w:color="000000"/>
              <w:left w:val="none" w:sz="0" w:space="0" w:color="000000"/>
              <w:bottom w:val="single" w:sz="12" w:space="0" w:color="000000"/>
              <w:right w:val="none" w:sz="0" w:space="0" w:color="000000"/>
            </w:tcBorders>
            <w:tcMar>
              <w:top w:w="15" w:type="dxa"/>
              <w:left w:w="15" w:type="dxa"/>
              <w:bottom w:w="15" w:type="dxa"/>
              <w:right w:w="15" w:type="dxa"/>
            </w:tcMar>
            <w:vAlign w:val="center"/>
          </w:tcPr>
          <w:p w:rsidR="007A0453" w:rsidRDefault="004E3E9B">
            <w:pPr>
              <w:widowControl/>
              <w:jc w:val="center"/>
              <w:rPr>
                <w:rFonts w:ascii="Times New Roman" w:hAnsi="Times New Roman"/>
                <w:sz w:val="18"/>
                <w:szCs w:val="18"/>
              </w:rPr>
            </w:pPr>
            <w:r>
              <w:rPr>
                <w:rFonts w:ascii="Times New Roman" w:hAnsi="Times New Roman"/>
                <w:sz w:val="18"/>
                <w:szCs w:val="18"/>
              </w:rPr>
              <w:t>0.051</w:t>
            </w:r>
          </w:p>
        </w:tc>
        <w:tc>
          <w:tcPr>
            <w:tcW w:w="1967" w:type="dxa"/>
            <w:tcBorders>
              <w:top w:val="single" w:sz="4" w:space="0" w:color="000000"/>
              <w:left w:val="none" w:sz="0" w:space="0" w:color="000000"/>
              <w:bottom w:val="single" w:sz="12" w:space="0" w:color="000000"/>
              <w:right w:val="none" w:sz="0" w:space="0" w:color="000000"/>
            </w:tcBorders>
            <w:tcMar>
              <w:top w:w="15" w:type="dxa"/>
              <w:left w:w="15" w:type="dxa"/>
              <w:bottom w:w="15" w:type="dxa"/>
              <w:right w:w="15" w:type="dxa"/>
            </w:tcMar>
            <w:vAlign w:val="center"/>
          </w:tcPr>
          <w:p w:rsidR="007A0453" w:rsidRDefault="004E3E9B">
            <w:pPr>
              <w:widowControl/>
              <w:jc w:val="center"/>
              <w:rPr>
                <w:rFonts w:ascii="Times New Roman" w:hAnsi="Times New Roman"/>
                <w:sz w:val="18"/>
                <w:szCs w:val="18"/>
              </w:rPr>
            </w:pPr>
            <w:r>
              <w:rPr>
                <w:rFonts w:ascii="Times New Roman" w:hAnsi="Times New Roman"/>
                <w:sz w:val="18"/>
                <w:szCs w:val="18"/>
              </w:rPr>
              <w:t>0.270</w:t>
            </w:r>
          </w:p>
        </w:tc>
        <w:tc>
          <w:tcPr>
            <w:tcW w:w="1735" w:type="dxa"/>
            <w:tcBorders>
              <w:top w:val="single" w:sz="4" w:space="0" w:color="000000"/>
              <w:left w:val="none" w:sz="0" w:space="0" w:color="000000"/>
              <w:bottom w:val="single" w:sz="12" w:space="0" w:color="000000"/>
              <w:right w:val="none" w:sz="0" w:space="0" w:color="000000"/>
            </w:tcBorders>
            <w:tcMar>
              <w:top w:w="15" w:type="dxa"/>
              <w:left w:w="15" w:type="dxa"/>
              <w:bottom w:w="15" w:type="dxa"/>
              <w:right w:w="15" w:type="dxa"/>
            </w:tcMar>
            <w:vAlign w:val="center"/>
          </w:tcPr>
          <w:p w:rsidR="007A0453" w:rsidRDefault="004E3E9B">
            <w:pPr>
              <w:widowControl/>
              <w:jc w:val="center"/>
              <w:rPr>
                <w:rFonts w:ascii="Times New Roman" w:hAnsi="Times New Roman"/>
                <w:sz w:val="18"/>
                <w:szCs w:val="18"/>
              </w:rPr>
            </w:pPr>
            <w:r>
              <w:rPr>
                <w:rFonts w:ascii="Times New Roman" w:hAnsi="Times New Roman"/>
                <w:sz w:val="18"/>
                <w:szCs w:val="18"/>
              </w:rPr>
              <w:t>0.242</w:t>
            </w:r>
          </w:p>
        </w:tc>
        <w:tc>
          <w:tcPr>
            <w:tcW w:w="1476" w:type="dxa"/>
            <w:tcBorders>
              <w:top w:val="single" w:sz="4" w:space="0" w:color="000000"/>
              <w:left w:val="none" w:sz="0" w:space="0" w:color="000000"/>
              <w:bottom w:val="single" w:sz="12" w:space="0" w:color="000000"/>
              <w:right w:val="none" w:sz="0" w:space="0" w:color="000000"/>
            </w:tcBorders>
            <w:tcMar>
              <w:top w:w="15" w:type="dxa"/>
              <w:left w:w="15" w:type="dxa"/>
              <w:bottom w:w="15" w:type="dxa"/>
              <w:right w:w="15" w:type="dxa"/>
            </w:tcMar>
            <w:vAlign w:val="center"/>
          </w:tcPr>
          <w:p w:rsidR="007A0453" w:rsidRDefault="004E3E9B">
            <w:pPr>
              <w:widowControl/>
              <w:jc w:val="center"/>
              <w:rPr>
                <w:rFonts w:ascii="Times New Roman" w:hAnsi="Times New Roman"/>
                <w:sz w:val="18"/>
                <w:szCs w:val="18"/>
              </w:rPr>
            </w:pPr>
            <w:r>
              <w:rPr>
                <w:rFonts w:ascii="Times New Roman" w:hAnsi="Times New Roman"/>
                <w:sz w:val="18"/>
                <w:szCs w:val="18"/>
              </w:rPr>
              <w:t>0.391</w:t>
            </w:r>
          </w:p>
        </w:tc>
      </w:tr>
    </w:tbl>
    <w:p w:rsidR="007A0453" w:rsidRDefault="007A0453">
      <w:pPr>
        <w:jc w:val="left"/>
        <w:rPr>
          <w:rFonts w:ascii="宋体" w:hAnsi="宋体" w:cs="宋体"/>
          <w:bCs/>
          <w:sz w:val="24"/>
          <w:szCs w:val="28"/>
        </w:rPr>
      </w:pPr>
    </w:p>
    <w:p w:rsidR="007A0453" w:rsidRDefault="004E3E9B">
      <w:pPr>
        <w:spacing w:line="400" w:lineRule="exact"/>
        <w:ind w:firstLine="480"/>
        <w:jc w:val="left"/>
        <w:rPr>
          <w:bCs/>
          <w:sz w:val="24"/>
        </w:rPr>
      </w:pPr>
      <w:r>
        <w:rPr>
          <w:bCs/>
          <w:sz w:val="24"/>
        </w:rPr>
        <w:t>所以外部变量对农村电子商务接受的影响</w:t>
      </w:r>
      <w:r>
        <w:rPr>
          <w:bCs/>
          <w:sz w:val="24"/>
        </w:rPr>
        <w:t>重要程度排序为：电商信任程度</w:t>
      </w:r>
      <w:r>
        <w:rPr>
          <w:bCs/>
          <w:sz w:val="24"/>
        </w:rPr>
        <w:t>&gt;</w:t>
      </w:r>
      <w:r>
        <w:rPr>
          <w:bCs/>
          <w:sz w:val="24"/>
        </w:rPr>
        <w:t>个人差异</w:t>
      </w:r>
      <w:r>
        <w:rPr>
          <w:bCs/>
          <w:sz w:val="24"/>
        </w:rPr>
        <w:t>&gt;</w:t>
      </w:r>
      <w:r>
        <w:rPr>
          <w:bCs/>
          <w:sz w:val="24"/>
        </w:rPr>
        <w:t>社会影响</w:t>
      </w:r>
      <w:r>
        <w:rPr>
          <w:bCs/>
          <w:sz w:val="24"/>
        </w:rPr>
        <w:t>&gt;</w:t>
      </w:r>
      <w:r>
        <w:rPr>
          <w:bCs/>
          <w:sz w:val="24"/>
        </w:rPr>
        <w:t>便利条件</w:t>
      </w:r>
      <w:r>
        <w:rPr>
          <w:bCs/>
          <w:sz w:val="24"/>
        </w:rPr>
        <w:t>&gt;</w:t>
      </w:r>
      <w:r>
        <w:rPr>
          <w:bCs/>
          <w:sz w:val="24"/>
        </w:rPr>
        <w:t>技术复杂性。</w:t>
      </w:r>
    </w:p>
    <w:p w:rsidR="007A0453" w:rsidRDefault="004E3E9B">
      <w:pPr>
        <w:spacing w:line="400" w:lineRule="exact"/>
        <w:ind w:firstLine="480"/>
        <w:rPr>
          <w:bCs/>
          <w:sz w:val="24"/>
        </w:rPr>
      </w:pPr>
      <w:r>
        <w:rPr>
          <w:bCs/>
          <w:sz w:val="24"/>
        </w:rPr>
        <w:t>（</w:t>
      </w:r>
      <w:r>
        <w:rPr>
          <w:rFonts w:ascii="Times New Roman" w:hAnsi="Times New Roman"/>
          <w:bCs/>
          <w:sz w:val="24"/>
        </w:rPr>
        <w:t>1</w:t>
      </w:r>
      <w:r>
        <w:rPr>
          <w:bCs/>
          <w:sz w:val="24"/>
        </w:rPr>
        <w:t>）电商信任程度对农村电子商务接受的影响最大，信息的安全性与可靠性始终是制约农村电子商务发展的主要因素，因此建立诚信的电子商务交易支付平台，完善支付机制以及售后反应能力，</w:t>
      </w:r>
      <w:r>
        <w:rPr>
          <w:rFonts w:ascii="宋体" w:eastAsia="宋体" w:hAnsi="宋体" w:cs="宋体" w:hint="eastAsia"/>
          <w:bCs/>
          <w:sz w:val="24"/>
        </w:rPr>
        <w:t>加强市场的监督管理</w:t>
      </w:r>
      <w:r>
        <w:rPr>
          <w:bCs/>
          <w:sz w:val="24"/>
        </w:rPr>
        <w:t>显得尤为重要；</w:t>
      </w:r>
    </w:p>
    <w:p w:rsidR="007A0453" w:rsidRDefault="004E3E9B">
      <w:pPr>
        <w:spacing w:line="400" w:lineRule="exact"/>
        <w:ind w:firstLine="480"/>
        <w:rPr>
          <w:bCs/>
          <w:sz w:val="24"/>
        </w:rPr>
      </w:pPr>
      <w:r>
        <w:rPr>
          <w:bCs/>
          <w:sz w:val="24"/>
        </w:rPr>
        <w:t>（</w:t>
      </w:r>
      <w:r>
        <w:rPr>
          <w:rFonts w:ascii="Times New Roman" w:hAnsi="Times New Roman"/>
          <w:bCs/>
          <w:sz w:val="24"/>
        </w:rPr>
        <w:t>2</w:t>
      </w:r>
      <w:r>
        <w:rPr>
          <w:bCs/>
          <w:sz w:val="24"/>
        </w:rPr>
        <w:t>）个人差异对农村电子商务接受的影响较大，说明消费观念、年龄、受教育程度等个人差异是影响农村电子商务接受程度的重要因素。因此在发展农村电子商务过程中要始终坚持以市场为导向，加强对农民需求信息的调研分析，同时注意不同接受群体的文化、</w:t>
      </w:r>
      <w:r>
        <w:rPr>
          <w:bCs/>
          <w:sz w:val="24"/>
        </w:rPr>
        <w:t>心理等差异，加强农村电子商务的针对性；</w:t>
      </w:r>
    </w:p>
    <w:p w:rsidR="007A0453" w:rsidRDefault="004E3E9B">
      <w:pPr>
        <w:spacing w:line="400" w:lineRule="exact"/>
        <w:ind w:firstLine="480"/>
        <w:rPr>
          <w:bCs/>
          <w:sz w:val="24"/>
        </w:rPr>
      </w:pPr>
      <w:r>
        <w:rPr>
          <w:bCs/>
          <w:sz w:val="24"/>
        </w:rPr>
        <w:t>（</w:t>
      </w:r>
      <w:r>
        <w:rPr>
          <w:rFonts w:ascii="Times New Roman" w:hAnsi="Times New Roman"/>
          <w:bCs/>
          <w:sz w:val="24"/>
        </w:rPr>
        <w:t>3</w:t>
      </w:r>
      <w:r>
        <w:rPr>
          <w:bCs/>
          <w:sz w:val="24"/>
        </w:rPr>
        <w:t>）社会影响对农村电子商务接受的影响大，说明农村用户在使用电子商务的过程中，舆论的导向性以及用户使用后的体验显得相当重要。因此在推进农村电子商务的过程当中要始终注意用户的体验以及售后处理反应行为，争取促成积极的用户评价以及舆论导向，扩大农村电子商务的影响范围；</w:t>
      </w:r>
    </w:p>
    <w:p w:rsidR="007A0453" w:rsidRDefault="004E3E9B">
      <w:pPr>
        <w:spacing w:line="400" w:lineRule="exact"/>
        <w:ind w:firstLine="480"/>
        <w:rPr>
          <w:bCs/>
          <w:sz w:val="24"/>
        </w:rPr>
      </w:pPr>
      <w:r>
        <w:rPr>
          <w:bCs/>
          <w:sz w:val="24"/>
        </w:rPr>
        <w:lastRenderedPageBreak/>
        <w:t>（</w:t>
      </w:r>
      <w:r>
        <w:rPr>
          <w:rFonts w:ascii="Times New Roman" w:hAnsi="Times New Roman"/>
          <w:bCs/>
          <w:sz w:val="24"/>
        </w:rPr>
        <w:t>4</w:t>
      </w:r>
      <w:r>
        <w:rPr>
          <w:bCs/>
          <w:sz w:val="24"/>
        </w:rPr>
        <w:t>）便利条件对农村电子商务接受的影响较小，但是农村信息基础设施的建设为农村电子商务的发展提供物质基础。因此在推进农村电子商务的过程中，要加快农村信息化建设，积极探索农村公共服务与电商融合发展的新模式，积极搭</w:t>
      </w:r>
      <w:r>
        <w:rPr>
          <w:bCs/>
          <w:sz w:val="24"/>
        </w:rPr>
        <w:t>建城乡物流一体化平台，解决农村</w:t>
      </w:r>
      <w:r>
        <w:rPr>
          <w:bCs/>
          <w:sz w:val="24"/>
        </w:rPr>
        <w:t>“</w:t>
      </w:r>
      <w:r>
        <w:rPr>
          <w:bCs/>
          <w:sz w:val="24"/>
        </w:rPr>
        <w:t>最后一公里</w:t>
      </w:r>
      <w:r>
        <w:rPr>
          <w:bCs/>
          <w:sz w:val="24"/>
        </w:rPr>
        <w:t>”</w:t>
      </w:r>
      <w:r>
        <w:rPr>
          <w:bCs/>
          <w:sz w:val="24"/>
        </w:rPr>
        <w:t>难题；</w:t>
      </w:r>
    </w:p>
    <w:p w:rsidR="007A0453" w:rsidRDefault="004E3E9B">
      <w:pPr>
        <w:spacing w:line="400" w:lineRule="exact"/>
        <w:ind w:firstLine="480"/>
        <w:rPr>
          <w:bCs/>
          <w:sz w:val="24"/>
        </w:rPr>
      </w:pPr>
      <w:r>
        <w:rPr>
          <w:bCs/>
          <w:sz w:val="24"/>
        </w:rPr>
        <w:t>（</w:t>
      </w:r>
      <w:r>
        <w:rPr>
          <w:rFonts w:ascii="Times New Roman" w:hAnsi="Times New Roman"/>
          <w:bCs/>
          <w:sz w:val="24"/>
        </w:rPr>
        <w:t>5</w:t>
      </w:r>
      <w:r>
        <w:rPr>
          <w:bCs/>
          <w:sz w:val="24"/>
        </w:rPr>
        <w:t>）与其他因素相比，技术复杂性对农村电子商务接受的影响最小，但是用户对技术使用的感知难度会影响农村电子商务接受的第一步，其重要性不容忽视。</w:t>
      </w:r>
    </w:p>
    <w:p w:rsidR="007A0453" w:rsidRDefault="004E3E9B">
      <w:pPr>
        <w:spacing w:before="313" w:after="313" w:line="400" w:lineRule="exact"/>
        <w:jc w:val="left"/>
        <w:rPr>
          <w:rFonts w:ascii="Calibri Light" w:eastAsia="Calibri Light" w:hAnsi="Calibri Light"/>
          <w:b/>
          <w:sz w:val="28"/>
          <w:szCs w:val="28"/>
        </w:rPr>
      </w:pPr>
      <w:r>
        <w:rPr>
          <w:rFonts w:ascii="Calibri Light" w:eastAsia="Calibri Light" w:hAnsi="Calibri Light" w:hint="eastAsia"/>
          <w:b/>
          <w:sz w:val="28"/>
          <w:szCs w:val="28"/>
        </w:rPr>
        <w:t>四</w:t>
      </w:r>
      <w:r>
        <w:rPr>
          <w:rFonts w:ascii="Calibri Light" w:eastAsia="Calibri Light" w:hAnsi="Calibri Light" w:hint="eastAsia"/>
          <w:b/>
          <w:sz w:val="28"/>
          <w:szCs w:val="28"/>
        </w:rPr>
        <w:t xml:space="preserve"> </w:t>
      </w:r>
      <w:r>
        <w:rPr>
          <w:rFonts w:ascii="Calibri Light" w:eastAsia="Calibri Light" w:hAnsi="Calibri Light" w:hint="eastAsia"/>
          <w:b/>
          <w:sz w:val="28"/>
          <w:szCs w:val="28"/>
        </w:rPr>
        <w:t>结论</w:t>
      </w:r>
    </w:p>
    <w:p w:rsidR="007A0453" w:rsidRDefault="004E3E9B">
      <w:pPr>
        <w:spacing w:line="400" w:lineRule="exact"/>
        <w:ind w:firstLine="480"/>
        <w:jc w:val="left"/>
        <w:rPr>
          <w:rFonts w:ascii="宋体" w:eastAsia="宋体" w:hAnsi="宋体" w:cs="宋体"/>
          <w:bCs/>
          <w:sz w:val="24"/>
        </w:rPr>
      </w:pPr>
      <w:r>
        <w:rPr>
          <w:rFonts w:ascii="宋体" w:eastAsia="宋体" w:hAnsi="宋体" w:cs="宋体" w:hint="eastAsia"/>
          <w:bCs/>
          <w:sz w:val="24"/>
        </w:rPr>
        <w:t>本文结合农村电子商务现状及特点，在</w:t>
      </w:r>
      <w:r>
        <w:rPr>
          <w:rFonts w:ascii="Times New Roman" w:eastAsia="宋体" w:hAnsi="Times New Roman"/>
          <w:bCs/>
          <w:sz w:val="24"/>
        </w:rPr>
        <w:t>TAM</w:t>
      </w:r>
      <w:r>
        <w:rPr>
          <w:rFonts w:ascii="宋体" w:eastAsia="宋体" w:hAnsi="宋体" w:cs="宋体" w:hint="eastAsia"/>
          <w:bCs/>
          <w:sz w:val="24"/>
        </w:rPr>
        <w:t>模型基础上加入外部变量：电商信任程度、个人差异、社会影响、便利条件、技术复杂性，构建了农村电子商务接受模型。通过建立技术接受模型和对调研数据进行因子分析，得出影响</w:t>
      </w:r>
      <w:r>
        <w:rPr>
          <w:bCs/>
          <w:sz w:val="24"/>
        </w:rPr>
        <w:t>农村电子商务接受</w:t>
      </w:r>
      <w:r>
        <w:rPr>
          <w:rFonts w:ascii="宋体" w:eastAsia="宋体" w:hAnsi="宋体" w:cs="宋体" w:hint="eastAsia"/>
          <w:bCs/>
          <w:sz w:val="24"/>
        </w:rPr>
        <w:t>的关键因素为电商信任程度，个人差异和社会影响。因此</w:t>
      </w:r>
      <w:r>
        <w:rPr>
          <w:rFonts w:ascii="宋体" w:eastAsia="宋体" w:hAnsi="宋体" w:cs="宋体" w:hint="eastAsia"/>
          <w:bCs/>
          <w:sz w:val="24"/>
        </w:rPr>
        <w:t>在发展农村电子商务过程中，结合研究结果，我们提出建议如下：</w:t>
      </w:r>
    </w:p>
    <w:p w:rsidR="007A0453" w:rsidRDefault="004E3E9B">
      <w:pPr>
        <w:spacing w:line="400" w:lineRule="exact"/>
        <w:ind w:firstLine="480"/>
        <w:jc w:val="left"/>
        <w:rPr>
          <w:rFonts w:ascii="宋体" w:eastAsia="宋体" w:hAnsi="宋体" w:cs="宋体"/>
          <w:bCs/>
          <w:sz w:val="24"/>
        </w:rPr>
      </w:pPr>
      <w:r>
        <w:rPr>
          <w:rFonts w:ascii="宋体" w:eastAsia="宋体" w:hAnsi="宋体" w:cs="宋体" w:hint="eastAsia"/>
          <w:bCs/>
          <w:sz w:val="24"/>
        </w:rPr>
        <w:t>（</w:t>
      </w:r>
      <w:r>
        <w:rPr>
          <w:rFonts w:ascii="Times New Roman" w:eastAsia="宋体" w:hAnsi="Times New Roman"/>
          <w:bCs/>
          <w:sz w:val="24"/>
        </w:rPr>
        <w:t>1</w:t>
      </w:r>
      <w:r>
        <w:rPr>
          <w:rFonts w:ascii="宋体" w:eastAsia="宋体" w:hAnsi="宋体" w:cs="宋体" w:hint="eastAsia"/>
          <w:bCs/>
          <w:sz w:val="24"/>
        </w:rPr>
        <w:t>）要加强电商人才培养，开展农村电商培训课堂，积极培育农村电商主体；要建立诚信的电子商务平台，完善支付机制以及售后反应能力，加强市场的监督管理，加强电子商务法律法规的研究；始终坚持以市场为导向，结合农业生产搭建信息平台，加强对农民需求信息的调研和分析；</w:t>
      </w:r>
    </w:p>
    <w:p w:rsidR="007A0453" w:rsidRDefault="004E3E9B">
      <w:pPr>
        <w:spacing w:line="400" w:lineRule="exact"/>
        <w:ind w:firstLine="480"/>
        <w:jc w:val="left"/>
        <w:rPr>
          <w:rFonts w:ascii="宋体" w:eastAsia="宋体" w:hAnsi="宋体" w:cs="宋体"/>
          <w:bCs/>
          <w:sz w:val="24"/>
        </w:rPr>
      </w:pPr>
      <w:r>
        <w:rPr>
          <w:rFonts w:ascii="宋体" w:eastAsia="宋体" w:hAnsi="宋体" w:cs="宋体" w:hint="eastAsia"/>
          <w:bCs/>
          <w:sz w:val="24"/>
        </w:rPr>
        <w:t>（</w:t>
      </w:r>
      <w:r>
        <w:rPr>
          <w:rFonts w:ascii="Times New Roman" w:eastAsia="宋体" w:hAnsi="Times New Roman"/>
          <w:bCs/>
          <w:sz w:val="24"/>
        </w:rPr>
        <w:t>2</w:t>
      </w:r>
      <w:r>
        <w:rPr>
          <w:rFonts w:ascii="宋体" w:eastAsia="宋体" w:hAnsi="宋体" w:cs="宋体" w:hint="eastAsia"/>
          <w:bCs/>
          <w:sz w:val="24"/>
        </w:rPr>
        <w:t>）要加快农村信息基础设施建设，合理布局农村电商服务网点。应持续提高农村宽带普及率，提高无线宽带覆盖率，提升农村基层公共服务信息化水平；鼓励具备条件的农村综合服务站、电商企业整合建设服务网点，对接各级信息公共服务平台，实现资源共享；</w:t>
      </w:r>
    </w:p>
    <w:p w:rsidR="007A0453" w:rsidRDefault="004E3E9B">
      <w:pPr>
        <w:spacing w:line="400" w:lineRule="exact"/>
        <w:ind w:firstLine="480"/>
        <w:jc w:val="left"/>
        <w:rPr>
          <w:rFonts w:ascii="宋体" w:eastAsia="宋体" w:hAnsi="宋体" w:cs="宋体"/>
          <w:bCs/>
          <w:sz w:val="24"/>
        </w:rPr>
      </w:pPr>
      <w:r>
        <w:rPr>
          <w:rFonts w:ascii="宋体" w:eastAsia="宋体" w:hAnsi="宋体" w:cs="宋体" w:hint="eastAsia"/>
          <w:bCs/>
          <w:sz w:val="24"/>
        </w:rPr>
        <w:t>（</w:t>
      </w:r>
      <w:r>
        <w:rPr>
          <w:rFonts w:ascii="Times New Roman" w:eastAsia="宋体" w:hAnsi="Times New Roman"/>
          <w:bCs/>
          <w:sz w:val="24"/>
        </w:rPr>
        <w:t>3</w:t>
      </w:r>
      <w:r>
        <w:rPr>
          <w:rFonts w:ascii="宋体" w:eastAsia="宋体" w:hAnsi="宋体" w:cs="宋体" w:hint="eastAsia"/>
          <w:bCs/>
          <w:sz w:val="24"/>
        </w:rPr>
        <w:t>）结合各地“农综改”进程，完善“一站式”的村级综合服务中心，探索开展农村公共服务与电商融合发展的新模式将快递业务延伸至村一级，搭建城乡仓储物流一体化平台，推动第三方配送，打通农村物流配送的最后一公里。</w:t>
      </w:r>
    </w:p>
    <w:p w:rsidR="007A0453" w:rsidRDefault="004E3E9B">
      <w:pPr>
        <w:spacing w:before="313" w:after="313" w:line="400" w:lineRule="exact"/>
        <w:rPr>
          <w:rFonts w:ascii="Calibri Light" w:eastAsia="Calibri Light" w:hAnsi="Calibri Light"/>
          <w:b/>
          <w:sz w:val="24"/>
        </w:rPr>
      </w:pPr>
      <w:r>
        <w:rPr>
          <w:rFonts w:ascii="Calibri Light" w:eastAsia="Calibri Light" w:hAnsi="Calibri Light" w:hint="eastAsia"/>
          <w:b/>
          <w:sz w:val="24"/>
        </w:rPr>
        <w:t>参考文献</w:t>
      </w:r>
    </w:p>
    <w:p w:rsidR="007A0453" w:rsidRDefault="004E3E9B">
      <w:pPr>
        <w:spacing w:line="360" w:lineRule="auto"/>
        <w:rPr>
          <w:rFonts w:ascii="宋体" w:eastAsia="宋体" w:hAnsi="宋体" w:cs="宋体"/>
          <w:bCs/>
          <w:sz w:val="18"/>
          <w:szCs w:val="18"/>
        </w:rPr>
      </w:pPr>
      <w:r>
        <w:rPr>
          <w:rFonts w:ascii="宋体" w:eastAsia="宋体" w:hAnsi="宋体" w:cs="宋体" w:hint="eastAsia"/>
          <w:bCs/>
          <w:sz w:val="18"/>
          <w:szCs w:val="18"/>
        </w:rPr>
        <w:t>[</w:t>
      </w:r>
      <w:r>
        <w:rPr>
          <w:rFonts w:ascii="Times New Roman" w:eastAsia="宋体" w:hAnsi="Times New Roman"/>
          <w:bCs/>
          <w:sz w:val="18"/>
          <w:szCs w:val="18"/>
        </w:rPr>
        <w:t>1</w:t>
      </w:r>
      <w:r>
        <w:rPr>
          <w:rFonts w:ascii="宋体" w:eastAsia="宋体" w:hAnsi="宋体" w:cs="宋体" w:hint="eastAsia"/>
          <w:bCs/>
          <w:sz w:val="18"/>
          <w:szCs w:val="18"/>
        </w:rPr>
        <w:t>]</w:t>
      </w:r>
      <w:r>
        <w:rPr>
          <w:rFonts w:ascii="宋体" w:eastAsia="宋体" w:hAnsi="宋体" w:cs="宋体" w:hint="eastAsia"/>
          <w:bCs/>
          <w:sz w:val="18"/>
          <w:szCs w:val="18"/>
        </w:rPr>
        <w:t>洪勇</w:t>
      </w:r>
      <w:r>
        <w:rPr>
          <w:rFonts w:ascii="宋体" w:eastAsia="宋体" w:hAnsi="宋体" w:cs="宋体" w:hint="eastAsia"/>
          <w:bCs/>
          <w:sz w:val="18"/>
          <w:szCs w:val="18"/>
        </w:rPr>
        <w:t>.</w:t>
      </w:r>
      <w:r>
        <w:rPr>
          <w:rFonts w:ascii="宋体" w:eastAsia="宋体" w:hAnsi="宋体" w:cs="宋体" w:hint="eastAsia"/>
          <w:bCs/>
          <w:sz w:val="18"/>
          <w:szCs w:val="18"/>
        </w:rPr>
        <w:t>我国农村电商发展的制约因素与促进政策</w:t>
      </w:r>
      <w:r>
        <w:rPr>
          <w:rFonts w:ascii="宋体" w:eastAsia="宋体" w:hAnsi="宋体" w:cs="宋体" w:hint="eastAsia"/>
          <w:bCs/>
          <w:sz w:val="18"/>
          <w:szCs w:val="18"/>
        </w:rPr>
        <w:t>[J].</w:t>
      </w:r>
      <w:r>
        <w:rPr>
          <w:rFonts w:ascii="宋体" w:eastAsia="宋体" w:hAnsi="宋体" w:cs="宋体" w:hint="eastAsia"/>
          <w:bCs/>
          <w:sz w:val="18"/>
          <w:szCs w:val="18"/>
        </w:rPr>
        <w:t>商业时代</w:t>
      </w:r>
      <w:r>
        <w:rPr>
          <w:rFonts w:ascii="宋体" w:eastAsia="宋体" w:hAnsi="宋体" w:cs="宋体" w:hint="eastAsia"/>
          <w:bCs/>
          <w:sz w:val="18"/>
          <w:szCs w:val="18"/>
        </w:rPr>
        <w:t>,</w:t>
      </w:r>
      <w:r>
        <w:rPr>
          <w:rFonts w:ascii="Times New Roman" w:eastAsia="宋体" w:hAnsi="Times New Roman"/>
          <w:bCs/>
          <w:sz w:val="18"/>
          <w:szCs w:val="18"/>
        </w:rPr>
        <w:t>2016:169-171</w:t>
      </w:r>
      <w:r>
        <w:rPr>
          <w:rFonts w:ascii="宋体" w:eastAsia="宋体" w:hAnsi="宋体" w:cs="宋体" w:hint="eastAsia"/>
          <w:bCs/>
          <w:sz w:val="18"/>
          <w:szCs w:val="18"/>
        </w:rPr>
        <w:t>.</w:t>
      </w:r>
    </w:p>
    <w:p w:rsidR="007A0453" w:rsidRDefault="004E3E9B">
      <w:pPr>
        <w:spacing w:line="360" w:lineRule="auto"/>
        <w:rPr>
          <w:rFonts w:ascii="宋体" w:eastAsia="宋体" w:hAnsi="宋体" w:cs="宋体"/>
          <w:bCs/>
          <w:sz w:val="18"/>
          <w:szCs w:val="18"/>
        </w:rPr>
      </w:pPr>
      <w:r>
        <w:rPr>
          <w:rFonts w:ascii="宋体" w:eastAsia="宋体" w:hAnsi="宋体" w:cs="宋体" w:hint="eastAsia"/>
          <w:bCs/>
          <w:sz w:val="18"/>
          <w:szCs w:val="18"/>
        </w:rPr>
        <w:t>[</w:t>
      </w:r>
      <w:r>
        <w:rPr>
          <w:rFonts w:ascii="Times New Roman" w:eastAsia="宋体" w:hAnsi="Times New Roman"/>
          <w:bCs/>
          <w:sz w:val="18"/>
          <w:szCs w:val="18"/>
        </w:rPr>
        <w:t>2</w:t>
      </w:r>
      <w:r>
        <w:rPr>
          <w:rFonts w:ascii="宋体" w:eastAsia="宋体" w:hAnsi="宋体" w:cs="宋体" w:hint="eastAsia"/>
          <w:bCs/>
          <w:sz w:val="18"/>
          <w:szCs w:val="18"/>
        </w:rPr>
        <w:t>]</w:t>
      </w:r>
      <w:r>
        <w:rPr>
          <w:rFonts w:ascii="宋体" w:eastAsia="宋体" w:hAnsi="宋体" w:cs="宋体" w:hint="eastAsia"/>
          <w:bCs/>
          <w:sz w:val="18"/>
          <w:szCs w:val="18"/>
        </w:rPr>
        <w:t>张胜军</w:t>
      </w:r>
      <w:r>
        <w:rPr>
          <w:rFonts w:ascii="宋体" w:eastAsia="宋体" w:hAnsi="宋体" w:cs="宋体" w:hint="eastAsia"/>
          <w:bCs/>
          <w:sz w:val="18"/>
          <w:szCs w:val="18"/>
        </w:rPr>
        <w:t>.</w:t>
      </w:r>
      <w:r>
        <w:rPr>
          <w:rFonts w:ascii="宋体" w:eastAsia="宋体" w:hAnsi="宋体" w:cs="宋体" w:hint="eastAsia"/>
          <w:bCs/>
          <w:sz w:val="18"/>
          <w:szCs w:val="18"/>
        </w:rPr>
        <w:t>我国农产品电子商务平台建设的评价及建议</w:t>
      </w:r>
      <w:r>
        <w:rPr>
          <w:rFonts w:ascii="宋体" w:eastAsia="宋体" w:hAnsi="宋体" w:cs="宋体" w:hint="eastAsia"/>
          <w:bCs/>
          <w:sz w:val="18"/>
          <w:szCs w:val="18"/>
        </w:rPr>
        <w:t>[A].</w:t>
      </w:r>
      <w:r>
        <w:rPr>
          <w:rFonts w:ascii="宋体" w:eastAsia="宋体" w:hAnsi="宋体" w:cs="宋体" w:hint="eastAsia"/>
          <w:bCs/>
          <w:sz w:val="18"/>
          <w:szCs w:val="18"/>
        </w:rPr>
        <w:t>农村经济与科技</w:t>
      </w:r>
      <w:r>
        <w:rPr>
          <w:rFonts w:ascii="宋体" w:eastAsia="宋体" w:hAnsi="宋体" w:cs="宋体" w:hint="eastAsia"/>
          <w:bCs/>
          <w:sz w:val="18"/>
          <w:szCs w:val="18"/>
        </w:rPr>
        <w:t>,</w:t>
      </w:r>
      <w:r>
        <w:rPr>
          <w:rFonts w:ascii="Times New Roman" w:eastAsia="宋体" w:hAnsi="Times New Roman"/>
          <w:bCs/>
          <w:sz w:val="18"/>
          <w:szCs w:val="18"/>
        </w:rPr>
        <w:t>2011:103-106</w:t>
      </w:r>
      <w:r>
        <w:rPr>
          <w:rFonts w:ascii="宋体" w:eastAsia="宋体" w:hAnsi="宋体" w:cs="宋体" w:hint="eastAsia"/>
          <w:bCs/>
          <w:sz w:val="18"/>
          <w:szCs w:val="18"/>
        </w:rPr>
        <w:t>.</w:t>
      </w:r>
    </w:p>
    <w:p w:rsidR="007A0453" w:rsidRDefault="004E3E9B">
      <w:pPr>
        <w:spacing w:line="360" w:lineRule="auto"/>
        <w:rPr>
          <w:rFonts w:ascii="宋体" w:eastAsia="宋体" w:hAnsi="宋体" w:cs="宋体"/>
          <w:bCs/>
          <w:sz w:val="18"/>
          <w:szCs w:val="18"/>
        </w:rPr>
      </w:pPr>
      <w:r>
        <w:rPr>
          <w:rFonts w:ascii="宋体" w:eastAsia="宋体" w:hAnsi="宋体" w:cs="宋体" w:hint="eastAsia"/>
          <w:bCs/>
          <w:sz w:val="18"/>
          <w:szCs w:val="18"/>
        </w:rPr>
        <w:t>[</w:t>
      </w:r>
      <w:r>
        <w:rPr>
          <w:rFonts w:ascii="Times New Roman" w:eastAsia="宋体" w:hAnsi="Times New Roman"/>
          <w:bCs/>
          <w:sz w:val="18"/>
          <w:szCs w:val="18"/>
        </w:rPr>
        <w:t>3</w:t>
      </w:r>
      <w:r>
        <w:rPr>
          <w:rFonts w:ascii="宋体" w:eastAsia="宋体" w:hAnsi="宋体" w:cs="宋体" w:hint="eastAsia"/>
          <w:bCs/>
          <w:sz w:val="18"/>
          <w:szCs w:val="18"/>
        </w:rPr>
        <w:t>]</w:t>
      </w:r>
      <w:r>
        <w:rPr>
          <w:rFonts w:ascii="宋体" w:eastAsia="宋体" w:hAnsi="宋体" w:cs="宋体" w:hint="eastAsia"/>
          <w:bCs/>
          <w:sz w:val="18"/>
          <w:szCs w:val="18"/>
        </w:rPr>
        <w:t>李瑾</w:t>
      </w:r>
      <w:r>
        <w:rPr>
          <w:rFonts w:ascii="宋体" w:eastAsia="宋体" w:hAnsi="宋体" w:cs="宋体" w:hint="eastAsia"/>
          <w:bCs/>
          <w:sz w:val="18"/>
          <w:szCs w:val="18"/>
        </w:rPr>
        <w:t>.</w:t>
      </w:r>
      <w:r>
        <w:rPr>
          <w:rFonts w:ascii="宋体" w:eastAsia="宋体" w:hAnsi="宋体" w:cs="宋体" w:hint="eastAsia"/>
          <w:bCs/>
          <w:sz w:val="18"/>
          <w:szCs w:val="18"/>
        </w:rPr>
        <w:t>三网融合与农村信息化：机遇、困境及路径选择</w:t>
      </w:r>
      <w:r>
        <w:rPr>
          <w:rFonts w:ascii="宋体" w:eastAsia="宋体" w:hAnsi="宋体" w:cs="宋体" w:hint="eastAsia"/>
          <w:bCs/>
          <w:sz w:val="18"/>
          <w:szCs w:val="18"/>
        </w:rPr>
        <w:t>[A].</w:t>
      </w:r>
      <w:r>
        <w:rPr>
          <w:rFonts w:ascii="宋体" w:eastAsia="宋体" w:hAnsi="宋体" w:cs="宋体" w:hint="eastAsia"/>
          <w:bCs/>
          <w:sz w:val="18"/>
          <w:szCs w:val="18"/>
        </w:rPr>
        <w:t>农业经济问题</w:t>
      </w:r>
      <w:r>
        <w:rPr>
          <w:rFonts w:ascii="宋体" w:eastAsia="宋体" w:hAnsi="宋体" w:cs="宋体" w:hint="eastAsia"/>
          <w:bCs/>
          <w:sz w:val="18"/>
          <w:szCs w:val="18"/>
        </w:rPr>
        <w:t>,</w:t>
      </w:r>
      <w:r>
        <w:rPr>
          <w:rFonts w:ascii="Times New Roman" w:eastAsia="宋体" w:hAnsi="Times New Roman"/>
          <w:bCs/>
          <w:sz w:val="18"/>
          <w:szCs w:val="18"/>
        </w:rPr>
        <w:t>2012:105-109</w:t>
      </w:r>
      <w:r>
        <w:rPr>
          <w:rFonts w:ascii="宋体" w:eastAsia="宋体" w:hAnsi="宋体" w:cs="宋体" w:hint="eastAsia"/>
          <w:bCs/>
          <w:sz w:val="18"/>
          <w:szCs w:val="18"/>
        </w:rPr>
        <w:t>.</w:t>
      </w:r>
    </w:p>
    <w:p w:rsidR="007A0453" w:rsidRDefault="004E3E9B">
      <w:pPr>
        <w:spacing w:line="360" w:lineRule="auto"/>
        <w:rPr>
          <w:rFonts w:ascii="宋体" w:eastAsia="宋体" w:hAnsi="宋体" w:cs="宋体"/>
          <w:bCs/>
          <w:sz w:val="18"/>
          <w:szCs w:val="18"/>
        </w:rPr>
      </w:pPr>
      <w:r>
        <w:rPr>
          <w:rFonts w:ascii="宋体" w:eastAsia="宋体" w:hAnsi="宋体" w:cs="宋体" w:hint="eastAsia"/>
          <w:bCs/>
          <w:sz w:val="18"/>
          <w:szCs w:val="18"/>
        </w:rPr>
        <w:t>[</w:t>
      </w:r>
      <w:r>
        <w:rPr>
          <w:rFonts w:ascii="Times New Roman" w:eastAsia="宋体" w:hAnsi="Times New Roman"/>
          <w:bCs/>
          <w:sz w:val="18"/>
          <w:szCs w:val="18"/>
        </w:rPr>
        <w:t>4</w:t>
      </w:r>
      <w:r>
        <w:rPr>
          <w:rFonts w:ascii="宋体" w:eastAsia="宋体" w:hAnsi="宋体" w:cs="宋体" w:hint="eastAsia"/>
          <w:bCs/>
          <w:sz w:val="18"/>
          <w:szCs w:val="18"/>
        </w:rPr>
        <w:t>]</w:t>
      </w:r>
      <w:r>
        <w:rPr>
          <w:rFonts w:ascii="宋体" w:eastAsia="宋体" w:hAnsi="宋体" w:cs="宋体" w:hint="eastAsia"/>
          <w:bCs/>
          <w:sz w:val="18"/>
          <w:szCs w:val="18"/>
        </w:rPr>
        <w:t>刘维</w:t>
      </w:r>
      <w:r>
        <w:rPr>
          <w:rFonts w:ascii="宋体" w:eastAsia="宋体" w:hAnsi="宋体" w:cs="宋体" w:hint="eastAsia"/>
          <w:bCs/>
          <w:sz w:val="18"/>
          <w:szCs w:val="18"/>
        </w:rPr>
        <w:t>.</w:t>
      </w:r>
      <w:r>
        <w:rPr>
          <w:rFonts w:ascii="宋体" w:eastAsia="宋体" w:hAnsi="宋体" w:cs="宋体" w:hint="eastAsia"/>
          <w:bCs/>
          <w:sz w:val="18"/>
          <w:szCs w:val="18"/>
        </w:rPr>
        <w:t>我国农村电子商务物流配达模式初探</w:t>
      </w:r>
      <w:r>
        <w:rPr>
          <w:rFonts w:ascii="宋体" w:eastAsia="宋体" w:hAnsi="宋体" w:cs="宋体" w:hint="eastAsia"/>
          <w:bCs/>
          <w:sz w:val="18"/>
          <w:szCs w:val="18"/>
        </w:rPr>
        <w:t>[A].</w:t>
      </w:r>
      <w:r>
        <w:rPr>
          <w:rFonts w:ascii="宋体" w:eastAsia="宋体" w:hAnsi="宋体" w:cs="宋体" w:hint="eastAsia"/>
          <w:bCs/>
          <w:sz w:val="18"/>
          <w:szCs w:val="18"/>
        </w:rPr>
        <w:t>农村经济与科技</w:t>
      </w:r>
      <w:r>
        <w:rPr>
          <w:rFonts w:ascii="宋体" w:eastAsia="宋体" w:hAnsi="宋体" w:cs="宋体" w:hint="eastAsia"/>
          <w:bCs/>
          <w:sz w:val="18"/>
          <w:szCs w:val="18"/>
        </w:rPr>
        <w:t>,</w:t>
      </w:r>
      <w:r>
        <w:rPr>
          <w:rFonts w:ascii="Times New Roman" w:eastAsia="宋体" w:hAnsi="Times New Roman"/>
          <w:bCs/>
          <w:sz w:val="18"/>
          <w:szCs w:val="18"/>
        </w:rPr>
        <w:t>2013:48-59</w:t>
      </w:r>
      <w:r>
        <w:rPr>
          <w:rFonts w:ascii="宋体" w:eastAsia="宋体" w:hAnsi="宋体" w:cs="宋体" w:hint="eastAsia"/>
          <w:bCs/>
          <w:sz w:val="18"/>
          <w:szCs w:val="18"/>
        </w:rPr>
        <w:t>.</w:t>
      </w:r>
    </w:p>
    <w:p w:rsidR="007A0453" w:rsidRDefault="004E3E9B">
      <w:pPr>
        <w:spacing w:line="360" w:lineRule="auto"/>
        <w:rPr>
          <w:rFonts w:ascii="宋体" w:hAnsi="宋体" w:cs="宋体"/>
          <w:bCs/>
          <w:sz w:val="18"/>
          <w:szCs w:val="18"/>
        </w:rPr>
      </w:pPr>
      <w:r>
        <w:rPr>
          <w:rFonts w:ascii="宋体" w:hAnsi="宋体" w:cs="宋体" w:hint="eastAsia"/>
          <w:bCs/>
          <w:sz w:val="18"/>
          <w:szCs w:val="18"/>
        </w:rPr>
        <w:t>[</w:t>
      </w:r>
      <w:r>
        <w:rPr>
          <w:rFonts w:ascii="Times New Roman" w:hAnsi="Times New Roman"/>
          <w:bCs/>
          <w:sz w:val="18"/>
          <w:szCs w:val="18"/>
        </w:rPr>
        <w:t>5</w:t>
      </w:r>
      <w:r>
        <w:rPr>
          <w:rFonts w:ascii="宋体" w:hAnsi="宋体" w:cs="宋体" w:hint="eastAsia"/>
          <w:bCs/>
          <w:sz w:val="18"/>
          <w:szCs w:val="18"/>
        </w:rPr>
        <w:t>]</w:t>
      </w:r>
      <w:r>
        <w:rPr>
          <w:rFonts w:ascii="宋体" w:hAnsi="宋体" w:cs="宋体" w:hint="eastAsia"/>
          <w:bCs/>
          <w:sz w:val="18"/>
          <w:szCs w:val="18"/>
        </w:rPr>
        <w:t>刘静</w:t>
      </w:r>
      <w:r>
        <w:rPr>
          <w:rFonts w:ascii="宋体" w:hAnsi="宋体" w:cs="宋体" w:hint="eastAsia"/>
          <w:bCs/>
          <w:sz w:val="18"/>
          <w:szCs w:val="18"/>
        </w:rPr>
        <w:t>.</w:t>
      </w:r>
      <w:r>
        <w:rPr>
          <w:rFonts w:ascii="宋体" w:hAnsi="宋体" w:cs="宋体" w:hint="eastAsia"/>
          <w:bCs/>
          <w:sz w:val="18"/>
          <w:szCs w:val="18"/>
        </w:rPr>
        <w:t>农村电子商务带动农村经营新模式——基于江苏省“淘宝村”的案例研究</w:t>
      </w:r>
      <w:r>
        <w:rPr>
          <w:rFonts w:ascii="宋体" w:hAnsi="宋体" w:cs="宋体" w:hint="eastAsia"/>
          <w:bCs/>
          <w:sz w:val="18"/>
          <w:szCs w:val="18"/>
        </w:rPr>
        <w:t>[A].</w:t>
      </w:r>
      <w:r>
        <w:rPr>
          <w:rFonts w:ascii="宋体" w:hAnsi="宋体" w:cs="宋体" w:hint="eastAsia"/>
          <w:bCs/>
          <w:sz w:val="18"/>
          <w:szCs w:val="18"/>
        </w:rPr>
        <w:t>安徽农业科学</w:t>
      </w:r>
      <w:r>
        <w:rPr>
          <w:rFonts w:ascii="宋体" w:hAnsi="宋体" w:cs="宋体" w:hint="eastAsia"/>
          <w:bCs/>
          <w:sz w:val="18"/>
          <w:szCs w:val="18"/>
        </w:rPr>
        <w:t>,</w:t>
      </w:r>
      <w:r>
        <w:rPr>
          <w:rFonts w:ascii="Times New Roman" w:hAnsi="Times New Roman"/>
          <w:bCs/>
          <w:sz w:val="18"/>
          <w:szCs w:val="18"/>
        </w:rPr>
        <w:t>2015:293-295</w:t>
      </w:r>
      <w:r>
        <w:rPr>
          <w:rFonts w:ascii="宋体" w:hAnsi="宋体" w:cs="宋体" w:hint="eastAsia"/>
          <w:bCs/>
          <w:sz w:val="18"/>
          <w:szCs w:val="18"/>
        </w:rPr>
        <w:t>.</w:t>
      </w:r>
    </w:p>
    <w:p w:rsidR="007A0453" w:rsidRDefault="004E3E9B">
      <w:pPr>
        <w:spacing w:line="360" w:lineRule="auto"/>
        <w:rPr>
          <w:rFonts w:ascii="Times New Roman" w:hAnsi="Times New Roman"/>
          <w:bCs/>
          <w:sz w:val="18"/>
          <w:szCs w:val="18"/>
        </w:rPr>
      </w:pPr>
      <w:r>
        <w:rPr>
          <w:rFonts w:ascii="Times New Roman" w:hAnsi="Times New Roman"/>
          <w:bCs/>
          <w:sz w:val="18"/>
          <w:szCs w:val="18"/>
        </w:rPr>
        <w:t xml:space="preserve">[6]Kleijnen M,Ruyter K </w:t>
      </w:r>
      <w:r>
        <w:rPr>
          <w:rFonts w:ascii="Times New Roman" w:hAnsi="Times New Roman"/>
          <w:bCs/>
          <w:sz w:val="18"/>
          <w:szCs w:val="18"/>
        </w:rPr>
        <w:t>D,Wetzels M.Consumer adoption of wireless services:Discovering the rules,while playing the game.Journal of Interactive Marketing,2004:51-61.</w:t>
      </w:r>
    </w:p>
    <w:p w:rsidR="007A0453" w:rsidRDefault="004E3E9B">
      <w:pPr>
        <w:spacing w:line="360" w:lineRule="auto"/>
        <w:rPr>
          <w:rFonts w:ascii="Times New Roman" w:hAnsi="Times New Roman"/>
          <w:bCs/>
          <w:sz w:val="18"/>
          <w:szCs w:val="18"/>
        </w:rPr>
      </w:pPr>
      <w:r>
        <w:rPr>
          <w:rFonts w:ascii="Times New Roman" w:hAnsi="Times New Roman"/>
          <w:bCs/>
          <w:sz w:val="18"/>
          <w:szCs w:val="18"/>
        </w:rPr>
        <w:lastRenderedPageBreak/>
        <w:t>[7]</w:t>
      </w:r>
      <w:r>
        <w:rPr>
          <w:rFonts w:ascii="Times New Roman" w:hAnsi="Times New Roman"/>
          <w:sz w:val="18"/>
          <w:szCs w:val="18"/>
        </w:rPr>
        <w:t xml:space="preserve"> </w:t>
      </w:r>
      <w:r>
        <w:rPr>
          <w:rFonts w:ascii="Times New Roman" w:hAnsi="Times New Roman"/>
          <w:bCs/>
          <w:sz w:val="18"/>
          <w:szCs w:val="18"/>
        </w:rPr>
        <w:t>Kleijnen M,Ruyter K D,Wetzels M.Consumer acceptance of wireless finance.Journal of Financial Services Marketing</w:t>
      </w:r>
      <w:r>
        <w:rPr>
          <w:rFonts w:ascii="Times New Roman" w:hAnsi="Times New Roman"/>
          <w:bCs/>
          <w:sz w:val="18"/>
          <w:szCs w:val="18"/>
        </w:rPr>
        <w:t>,2004:206-217.</w:t>
      </w:r>
    </w:p>
    <w:p w:rsidR="007A0453" w:rsidRDefault="004E3E9B">
      <w:pPr>
        <w:spacing w:line="360" w:lineRule="auto"/>
        <w:rPr>
          <w:rFonts w:ascii="Times New Roman" w:hAnsi="Times New Roman"/>
          <w:bCs/>
          <w:sz w:val="18"/>
          <w:szCs w:val="18"/>
        </w:rPr>
      </w:pPr>
      <w:r>
        <w:rPr>
          <w:rFonts w:ascii="Times New Roman" w:hAnsi="Times New Roman"/>
          <w:bCs/>
          <w:sz w:val="18"/>
          <w:szCs w:val="18"/>
        </w:rPr>
        <w:t>[8]Hung S-Y,Chang C-M.User acceptance of WAP services: test of competing theories.Computer Standards &amp; Interfaces,2005:359-370.</w:t>
      </w:r>
    </w:p>
    <w:p w:rsidR="007A0453" w:rsidRDefault="004E3E9B">
      <w:pPr>
        <w:spacing w:line="360" w:lineRule="auto"/>
        <w:rPr>
          <w:rFonts w:ascii="Times New Roman" w:hAnsi="Times New Roman"/>
          <w:bCs/>
          <w:sz w:val="18"/>
          <w:szCs w:val="18"/>
        </w:rPr>
      </w:pPr>
      <w:r>
        <w:rPr>
          <w:rFonts w:ascii="Times New Roman" w:hAnsi="Times New Roman"/>
          <w:bCs/>
          <w:sz w:val="18"/>
          <w:szCs w:val="18"/>
        </w:rPr>
        <w:t>[9]</w:t>
      </w:r>
      <w:r>
        <w:rPr>
          <w:rFonts w:ascii="Times New Roman" w:hAnsi="Times New Roman"/>
          <w:sz w:val="18"/>
          <w:szCs w:val="18"/>
        </w:rPr>
        <w:t xml:space="preserve"> </w:t>
      </w:r>
      <w:r>
        <w:rPr>
          <w:rFonts w:ascii="Times New Roman" w:hAnsi="Times New Roman"/>
          <w:bCs/>
          <w:sz w:val="18"/>
          <w:szCs w:val="18"/>
        </w:rPr>
        <w:t>Hung S-Y.Critical factors of WAP services adoption: an empirical study.Electronic Commerce Research and Appli</w:t>
      </w:r>
      <w:r>
        <w:rPr>
          <w:rFonts w:ascii="Times New Roman" w:hAnsi="Times New Roman"/>
          <w:bCs/>
          <w:sz w:val="18"/>
          <w:szCs w:val="18"/>
        </w:rPr>
        <w:t>cations,2(1):42-60.</w:t>
      </w:r>
    </w:p>
    <w:p w:rsidR="007A0453" w:rsidRDefault="004E3E9B">
      <w:pPr>
        <w:spacing w:line="360" w:lineRule="auto"/>
        <w:rPr>
          <w:rFonts w:ascii="宋体" w:eastAsia="宋体" w:hAnsi="宋体" w:cs="宋体"/>
          <w:bCs/>
          <w:sz w:val="18"/>
          <w:szCs w:val="18"/>
        </w:rPr>
      </w:pPr>
      <w:r>
        <w:rPr>
          <w:rFonts w:ascii="Times New Roman" w:hAnsi="Times New Roman"/>
          <w:bCs/>
          <w:sz w:val="18"/>
          <w:szCs w:val="18"/>
        </w:rPr>
        <w:t>[10]Lee Y,Kozar K A,Larsen K R T.The Technology Acceptance Model:Past,present,and the future.Communications of the AIS,2003:752-780</w:t>
      </w:r>
    </w:p>
    <w:p w:rsidR="007A0453" w:rsidRDefault="007A0453">
      <w:pPr>
        <w:spacing w:line="360" w:lineRule="auto"/>
        <w:ind w:firstLine="480"/>
        <w:rPr>
          <w:rFonts w:ascii="宋体" w:eastAsia="宋体" w:hAnsi="宋体" w:cs="宋体"/>
          <w:bCs/>
          <w:sz w:val="18"/>
          <w:szCs w:val="18"/>
        </w:rPr>
      </w:pPr>
    </w:p>
    <w:p w:rsidR="007A0453" w:rsidRDefault="007A0453">
      <w:pPr>
        <w:spacing w:line="360" w:lineRule="auto"/>
        <w:ind w:firstLine="480"/>
        <w:rPr>
          <w:rFonts w:ascii="宋体" w:eastAsia="宋体" w:hAnsi="宋体" w:cs="宋体"/>
          <w:bCs/>
          <w:sz w:val="18"/>
          <w:szCs w:val="18"/>
        </w:rPr>
      </w:pPr>
    </w:p>
    <w:p w:rsidR="007A0453" w:rsidRDefault="007A0453">
      <w:pPr>
        <w:spacing w:line="360" w:lineRule="auto"/>
        <w:rPr>
          <w:rFonts w:ascii="宋体" w:hAnsi="宋体" w:cs="宋体"/>
          <w:bCs/>
          <w:sz w:val="24"/>
          <w:szCs w:val="28"/>
        </w:rPr>
      </w:pPr>
    </w:p>
    <w:p w:rsidR="007A0453" w:rsidRDefault="007A0453">
      <w:pPr>
        <w:spacing w:line="360" w:lineRule="auto"/>
        <w:rPr>
          <w:rFonts w:ascii="宋体" w:hAnsi="宋体" w:cs="宋体"/>
          <w:bCs/>
          <w:sz w:val="24"/>
          <w:szCs w:val="28"/>
        </w:rPr>
      </w:pPr>
    </w:p>
    <w:p w:rsidR="007A0453" w:rsidRDefault="007A0453">
      <w:pPr>
        <w:spacing w:line="360" w:lineRule="auto"/>
        <w:rPr>
          <w:rFonts w:ascii="宋体" w:hAnsi="宋体" w:cs="宋体"/>
          <w:bCs/>
          <w:sz w:val="24"/>
          <w:szCs w:val="28"/>
        </w:rPr>
      </w:pPr>
    </w:p>
    <w:p w:rsidR="007A0453" w:rsidRDefault="004E3E9B">
      <w:pPr>
        <w:spacing w:line="360" w:lineRule="auto"/>
        <w:rPr>
          <w:rFonts w:ascii="宋体" w:hAnsi="宋体" w:cs="宋体"/>
          <w:bCs/>
          <w:sz w:val="24"/>
          <w:szCs w:val="28"/>
        </w:rPr>
      </w:pPr>
      <w:r>
        <w:rPr>
          <w:rFonts w:ascii="宋体" w:hAnsi="宋体" w:cs="宋体" w:hint="eastAsia"/>
          <w:bCs/>
          <w:sz w:val="24"/>
          <w:szCs w:val="28"/>
        </w:rPr>
        <w:t>【基金项目】大学生创新创业训练计划项目（</w:t>
      </w:r>
      <w:r>
        <w:rPr>
          <w:rFonts w:ascii="Times New Roman" w:hAnsi="Times New Roman"/>
          <w:bCs/>
          <w:sz w:val="24"/>
          <w:szCs w:val="28"/>
        </w:rPr>
        <w:t>201510445363</w:t>
      </w:r>
      <w:r>
        <w:rPr>
          <w:rFonts w:ascii="宋体" w:hAnsi="宋体" w:cs="宋体" w:hint="eastAsia"/>
          <w:bCs/>
          <w:sz w:val="24"/>
          <w:szCs w:val="28"/>
        </w:rPr>
        <w:t>）。</w:t>
      </w:r>
    </w:p>
    <w:p w:rsidR="007A0453" w:rsidRDefault="004E3E9B">
      <w:pPr>
        <w:spacing w:line="360" w:lineRule="auto"/>
        <w:rPr>
          <w:rFonts w:ascii="宋体" w:hAnsi="宋体" w:cs="宋体"/>
          <w:bCs/>
          <w:sz w:val="24"/>
          <w:szCs w:val="28"/>
        </w:rPr>
      </w:pPr>
      <w:r>
        <w:rPr>
          <w:rFonts w:ascii="宋体" w:hAnsi="宋体" w:cs="宋体" w:hint="eastAsia"/>
          <w:bCs/>
          <w:sz w:val="24"/>
          <w:szCs w:val="28"/>
        </w:rPr>
        <w:t>【作者简介】刘欣雨（</w:t>
      </w:r>
      <w:r>
        <w:rPr>
          <w:rFonts w:ascii="Times New Roman" w:hAnsi="Times New Roman"/>
          <w:bCs/>
          <w:sz w:val="24"/>
          <w:szCs w:val="28"/>
        </w:rPr>
        <w:t>1994.08</w:t>
      </w:r>
      <w:r>
        <w:rPr>
          <w:rFonts w:ascii="宋体" w:hAnsi="宋体" w:cs="宋体" w:hint="eastAsia"/>
          <w:bCs/>
          <w:sz w:val="24"/>
          <w:szCs w:val="28"/>
        </w:rPr>
        <w:t>—）女，汉族，河北邢台，山东师范大学本科生，研究方向：信息管理与信息系统。</w:t>
      </w:r>
    </w:p>
    <w:p w:rsidR="007A0453" w:rsidRDefault="004E3E9B">
      <w:pPr>
        <w:spacing w:line="360" w:lineRule="auto"/>
        <w:rPr>
          <w:rFonts w:ascii="宋体" w:hAnsi="宋体" w:cs="宋体"/>
          <w:bCs/>
          <w:sz w:val="24"/>
          <w:szCs w:val="28"/>
        </w:rPr>
      </w:pPr>
      <w:r>
        <w:rPr>
          <w:rFonts w:ascii="宋体" w:hAnsi="宋体" w:cs="宋体" w:hint="eastAsia"/>
          <w:bCs/>
          <w:sz w:val="24"/>
          <w:szCs w:val="28"/>
        </w:rPr>
        <w:t>【通讯作者信息】</w:t>
      </w:r>
    </w:p>
    <w:p w:rsidR="007A0453" w:rsidRDefault="004E3E9B">
      <w:pPr>
        <w:spacing w:line="360" w:lineRule="auto"/>
        <w:rPr>
          <w:rFonts w:ascii="宋体" w:hAnsi="宋体" w:cs="宋体"/>
          <w:bCs/>
          <w:sz w:val="24"/>
          <w:szCs w:val="28"/>
        </w:rPr>
      </w:pPr>
      <w:r>
        <w:rPr>
          <w:rFonts w:ascii="宋体" w:hAnsi="宋体" w:cs="宋体" w:hint="eastAsia"/>
          <w:bCs/>
          <w:sz w:val="24"/>
          <w:szCs w:val="28"/>
        </w:rPr>
        <w:t>工作单位：山东师范大学</w:t>
      </w:r>
    </w:p>
    <w:p w:rsidR="007A0453" w:rsidRDefault="004E3E9B">
      <w:pPr>
        <w:spacing w:line="360" w:lineRule="auto"/>
        <w:rPr>
          <w:rFonts w:ascii="宋体" w:hAnsi="宋体" w:cs="宋体"/>
          <w:bCs/>
          <w:sz w:val="24"/>
          <w:szCs w:val="28"/>
        </w:rPr>
      </w:pPr>
      <w:r>
        <w:rPr>
          <w:rFonts w:ascii="宋体" w:hAnsi="宋体" w:cs="宋体" w:hint="eastAsia"/>
          <w:bCs/>
          <w:sz w:val="24"/>
          <w:szCs w:val="28"/>
        </w:rPr>
        <w:t>地址：山东省济南市长清区山东师范大学</w:t>
      </w:r>
    </w:p>
    <w:p w:rsidR="007A0453" w:rsidRDefault="004E3E9B">
      <w:pPr>
        <w:spacing w:line="360" w:lineRule="auto"/>
        <w:rPr>
          <w:rFonts w:ascii="宋体" w:hAnsi="宋体" w:cs="宋体"/>
          <w:bCs/>
          <w:sz w:val="24"/>
          <w:szCs w:val="28"/>
        </w:rPr>
      </w:pPr>
      <w:r>
        <w:rPr>
          <w:rFonts w:ascii="宋体" w:hAnsi="宋体" w:cs="宋体" w:hint="eastAsia"/>
          <w:bCs/>
          <w:sz w:val="24"/>
          <w:szCs w:val="28"/>
        </w:rPr>
        <w:t>邮编：</w:t>
      </w:r>
      <w:r>
        <w:rPr>
          <w:rFonts w:ascii="宋体" w:hAnsi="宋体" w:cs="宋体" w:hint="eastAsia"/>
          <w:bCs/>
          <w:sz w:val="24"/>
          <w:szCs w:val="28"/>
        </w:rPr>
        <w:t>250358</w:t>
      </w:r>
    </w:p>
    <w:p w:rsidR="007A0453" w:rsidRDefault="007A0453">
      <w:pPr>
        <w:spacing w:line="360" w:lineRule="auto"/>
        <w:rPr>
          <w:rFonts w:ascii="宋体" w:hAnsi="宋体" w:cs="宋体"/>
          <w:bCs/>
          <w:sz w:val="24"/>
          <w:szCs w:val="28"/>
        </w:rPr>
      </w:pPr>
    </w:p>
    <w:sectPr w:rsidR="007A0453" w:rsidSect="007A0453">
      <w:endnotePr>
        <w:numFmt w:val="decimal"/>
      </w:endnotePr>
      <w:pgSz w:w="11906" w:h="16838"/>
      <w:pgMar w:top="1701" w:right="1417"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楷体">
    <w:altName w:val="MS Gothic"/>
    <w:charset w:val="86"/>
    <w:family w:val="auto"/>
    <w:pitch w:val="default"/>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7A0453"/>
    <w:rsid w:val="004E3E9B"/>
    <w:rsid w:val="007A0453"/>
    <w:rsid w:val="007F3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直接箭头连接符 9"/>
        <o:r id="V:Rule20" type="connector" idref="#直接箭头连接符 8"/>
        <o:r id="V:Rule21" type="connector" idref="#直接箭头连接符 26"/>
        <o:r id="V:Rule22" type="connector" idref="#直接箭头连接符 10"/>
        <o:r id="V:Rule23" type="connector" idref="#直接箭头连接符 90"/>
        <o:r id="V:Rule24" type="connector" idref="#直接箭头连接符 28"/>
        <o:r id="V:Rule25" type="connector" idref="#直接箭头连接符 6"/>
        <o:r id="V:Rule26" type="connector" idref="#直接箭头连接符 27"/>
        <o:r id="V:Rule27" type="connector" idref="#直接箭头连接符 12"/>
        <o:r id="V:Rule28" type="connector" idref="#直接箭头连接符 30"/>
        <o:r id="V:Rule29" type="connector" idref="#直接箭头连接符 1"/>
        <o:r id="V:Rule30" type="connector" idref="#直接箭头连接符 3"/>
        <o:r id="V:Rule31" type="connector" idref="#直接箭头连接符 62"/>
        <o:r id="V:Rule32" type="connector" idref="#直接箭头连接符 5"/>
        <o:r id="V:Rule33" type="connector" idref="#直接箭头连接符 29"/>
        <o:r id="V:Rule34" type="connector" idref="#直接箭头连接符 89"/>
        <o:r id="V:Rule35" type="connector" idref="#直接箭头连接符 63"/>
        <o:r id="V:Rule36" type="connector" idref="#直接箭头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7A0453"/>
  </w:style>
  <w:style w:type="paragraph" w:styleId="1">
    <w:name w:val="heading 1"/>
    <w:qFormat/>
    <w:rsid w:val="007A0453"/>
    <w:pPr>
      <w:jc w:val="left"/>
      <w:outlineLvl w:val="0"/>
    </w:pPr>
    <w:rPr>
      <w:rFonts w:ascii="MingLiU" w:eastAsia="MingLiU" w:hAnsi="MingLiU"/>
      <w:b/>
      <w:kern w:val="0"/>
      <w:sz w:val="32"/>
      <w:szCs w:val="20"/>
    </w:rPr>
  </w:style>
  <w:style w:type="paragraph" w:styleId="2">
    <w:name w:val="heading 2"/>
    <w:qFormat/>
    <w:rsid w:val="007A0453"/>
    <w:pPr>
      <w:jc w:val="left"/>
      <w:outlineLvl w:val="1"/>
    </w:pPr>
    <w:rPr>
      <w:rFonts w:ascii="MingLiU" w:eastAsia="MingLiU" w:hAnsi="MingLiU"/>
      <w:b/>
      <w:i/>
      <w:kern w:val="0"/>
      <w:sz w:val="28"/>
      <w:szCs w:val="20"/>
    </w:rPr>
  </w:style>
  <w:style w:type="paragraph" w:styleId="3">
    <w:name w:val="heading 3"/>
    <w:qFormat/>
    <w:rsid w:val="007A0453"/>
    <w:pPr>
      <w:jc w:val="left"/>
      <w:outlineLvl w:val="2"/>
    </w:pPr>
    <w:rPr>
      <w:rFonts w:ascii="MingLiU" w:eastAsia="MingLiU" w:hAnsi="MingLiU"/>
      <w:b/>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批注文字1"/>
    <w:qFormat/>
    <w:rsid w:val="007A0453"/>
    <w:pPr>
      <w:jc w:val="left"/>
    </w:pPr>
  </w:style>
  <w:style w:type="paragraph" w:customStyle="1" w:styleId="Footer">
    <w:name w:val="Footer"/>
    <w:qFormat/>
    <w:rsid w:val="007A0453"/>
    <w:pPr>
      <w:tabs>
        <w:tab w:val="center" w:pos="4153"/>
        <w:tab w:val="right" w:pos="8306"/>
      </w:tabs>
      <w:jc w:val="left"/>
    </w:pPr>
    <w:rPr>
      <w:sz w:val="18"/>
      <w:szCs w:val="18"/>
    </w:rPr>
  </w:style>
  <w:style w:type="paragraph" w:customStyle="1" w:styleId="Header">
    <w:name w:val="Header"/>
    <w:qFormat/>
    <w:rsid w:val="007A0453"/>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styleId="a3">
    <w:name w:val="Normal (Web)"/>
    <w:qFormat/>
    <w:rsid w:val="007A0453"/>
    <w:pPr>
      <w:widowControl/>
      <w:spacing w:before="100" w:beforeAutospacing="1" w:after="100" w:afterAutospacing="1"/>
      <w:jc w:val="left"/>
    </w:pPr>
    <w:rPr>
      <w:rFonts w:ascii="宋体" w:eastAsia="宋体" w:hAnsi="宋体" w:cs="宋体"/>
      <w:sz w:val="24"/>
    </w:rPr>
  </w:style>
  <w:style w:type="character" w:customStyle="1" w:styleId="11">
    <w:name w:val="批注引用1"/>
    <w:rsid w:val="007A0453"/>
    <w:rPr>
      <w:sz w:val="21"/>
      <w:szCs w:val="21"/>
    </w:rPr>
  </w:style>
  <w:style w:type="character" w:customStyle="1" w:styleId="Char">
    <w:name w:val="页眉 Char"/>
    <w:rsid w:val="007A0453"/>
    <w:rPr>
      <w:rFonts w:ascii="Calibri" w:eastAsia="Calibri" w:hAnsi="Calibri"/>
      <w:kern w:val="1"/>
      <w:sz w:val="18"/>
      <w:szCs w:val="18"/>
    </w:rPr>
  </w:style>
  <w:style w:type="character" w:customStyle="1" w:styleId="Char0">
    <w:name w:val="页脚 Char"/>
    <w:rsid w:val="007A0453"/>
    <w:rPr>
      <w:rFonts w:ascii="Calibri" w:eastAsia="Calibri" w:hAnsi="Calibr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next w:val=""/>
    <w:pPr>
      <w:spacing/>
      <w:jc w:val="left"/>
      <w:outlineLvl w:val="0"/>
    </w:pPr>
    <w:rPr>
      <w:rFonts w:ascii="MingLiU" w:hAnsi="MingLiU" w:eastAsia="MingLiU"/>
      <w:b/>
      <w:kern w:val="0"/>
      <w:sz w:val="32"/>
      <w:szCs w:val="20"/>
    </w:rPr>
  </w:style>
  <w:style w:type="paragraph" w:styleId="2">
    <w:name w:val="heading 2"/>
    <w:qFormat/>
    <w:next w:val=""/>
    <w:pPr>
      <w:spacing/>
      <w:jc w:val="left"/>
      <w:outlineLvl w:val="1"/>
    </w:pPr>
    <w:rPr>
      <w:rFonts w:ascii="MingLiU" w:hAnsi="MingLiU" w:eastAsia="MingLiU"/>
      <w:b/>
      <w:i/>
      <w:kern w:val="0"/>
      <w:sz w:val="28"/>
      <w:szCs w:val="20"/>
    </w:rPr>
  </w:style>
  <w:style w:type="paragraph" w:styleId="3">
    <w:name w:val="heading 3"/>
    <w:qFormat/>
    <w:next w:val=""/>
    <w:pPr>
      <w:spacing/>
      <w:jc w:val="left"/>
      <w:outlineLvl w:val="2"/>
    </w:pPr>
    <w:rPr>
      <w:rFonts w:ascii="MingLiU" w:hAnsi="MingLiU" w:eastAsia="MingLiU"/>
      <w:b/>
      <w:kern w:val="0"/>
      <w:sz w:val="26"/>
      <w:szCs w:val="20"/>
    </w:rPr>
  </w:style>
  <w:style w:type="paragraph" w:styleId="annotationtext" w:customStyle="1">
    <w:name w:val="annotation text"/>
    <w:qFormat/>
    <w:basedOn w:val=""/>
    <w:pPr>
      <w:spacing/>
      <w:jc w:val="left"/>
    </w:p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Normal (Web)"/>
    <w:qFormat/>
    <w:basedOn w:val=""/>
    <w:pPr>
      <w:spacing w:before="100" w:after="100" w:beforeAutospacing="1" w:afterAutospacing="1"/>
      <w:jc w:val="left"/>
      <w:widowControl/>
    </w:pPr>
    <w:rPr>
      <w:rFonts w:ascii="宋体" w:hAnsi="宋体" w:eastAsia="宋体" w:cs="宋体"/>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annotationreference" w:customStyle="1">
    <w:name w:val="annotation reference"/>
    <w:basedOn w:val=""/>
    <w:rPr>
      <w:sz w:val="21"/>
      <w:szCs w:val="21"/>
    </w:rPr>
  </w:style>
  <w:style w:type="character" w:styleId="Char" w:customStyle="1">
    <w:name w:val="页眉 Char"/>
    <w:basedOn w:val=""/>
    <w:rPr>
      <w:rFonts w:ascii="Calibri" w:hAnsi="Calibri" w:eastAsia="Calibri"/>
      <w:kern w:val="1"/>
      <w:sz w:val="18"/>
      <w:szCs w:val="18"/>
    </w:rPr>
  </w:style>
  <w:style w:type="character" w:styleId="Char" w:customStyle="1">
    <w:name w:val="页脚 Char"/>
    <w:basedOn w:val=""/>
    <w:rPr>
      <w:rFonts w:ascii="Calibri" w:hAnsi="Calibri" w:eastAsia="Calibri"/>
      <w:kern w:val="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ingLiU"/>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2017-10-21T01:21:00Z</dcterms:created>
  <dcterms:modified xsi:type="dcterms:W3CDTF">2017-10-21T01:21:00Z</dcterms:modified>
</cp:coreProperties>
</file>